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3B" w:rsidRDefault="001C7DED" w:rsidP="00E15E40">
      <w:pPr>
        <w:spacing w:after="0" w:line="340" w:lineRule="exact"/>
        <w:jc w:val="center"/>
        <w:rPr>
          <w:rFonts w:eastAsia="Times New Roman"/>
          <w:b/>
          <w:szCs w:val="24"/>
          <w:lang w:eastAsia="de-DE"/>
        </w:rPr>
      </w:pPr>
      <w:r>
        <w:rPr>
          <w:rFonts w:eastAsia="Times New Roman"/>
          <w:b/>
          <w:noProof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05E50719" wp14:editId="3E4E0EA5">
            <wp:simplePos x="0" y="0"/>
            <wp:positionH relativeFrom="column">
              <wp:posOffset>-1270</wp:posOffset>
            </wp:positionH>
            <wp:positionV relativeFrom="paragraph">
              <wp:posOffset>-72390</wp:posOffset>
            </wp:positionV>
            <wp:extent cx="5819775" cy="923925"/>
            <wp:effectExtent l="0" t="0" r="9525" b="9525"/>
            <wp:wrapTopAndBottom/>
            <wp:docPr id="3" name="Grafik 3" descr="\\bklvn.bwl.net\mwk_Stuttgart$\bklvn.mwkfree\Persönliche Ablage\bau\Dreierband_05_M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klvn.bwl.net\mwk_Stuttgart$\bklvn.mwkfree\Persönliche Ablage\bau\Dreierband_05_MW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DB8" w:rsidRPr="00E77DE2" w:rsidRDefault="00DE3DB8" w:rsidP="00E15E40">
      <w:pPr>
        <w:spacing w:after="0" w:line="340" w:lineRule="exact"/>
        <w:jc w:val="center"/>
        <w:rPr>
          <w:rFonts w:eastAsia="Times New Roman"/>
          <w:b/>
          <w:szCs w:val="24"/>
          <w:lang w:eastAsia="de-DE"/>
        </w:rPr>
      </w:pPr>
      <w:r w:rsidRPr="00E77DE2">
        <w:rPr>
          <w:rFonts w:eastAsia="Times New Roman"/>
          <w:b/>
          <w:szCs w:val="24"/>
          <w:lang w:eastAsia="de-DE"/>
        </w:rPr>
        <w:t>EFRE Programm Baden-Württemberg 2014 - 2020</w:t>
      </w:r>
    </w:p>
    <w:p w:rsidR="00D6115C" w:rsidRPr="00E77DE2" w:rsidRDefault="00DE3DB8" w:rsidP="00E15E40">
      <w:pPr>
        <w:spacing w:after="0" w:line="340" w:lineRule="exact"/>
        <w:jc w:val="center"/>
        <w:rPr>
          <w:rFonts w:eastAsia="Times New Roman"/>
          <w:b/>
          <w:szCs w:val="24"/>
          <w:lang w:eastAsia="de-DE"/>
        </w:rPr>
      </w:pPr>
      <w:r w:rsidRPr="00E77DE2">
        <w:rPr>
          <w:rFonts w:eastAsia="Times New Roman"/>
          <w:b/>
          <w:szCs w:val="24"/>
          <w:lang w:eastAsia="de-DE"/>
        </w:rPr>
        <w:t>Innovation und Energiewende</w:t>
      </w:r>
    </w:p>
    <w:p w:rsidR="00DE3DB8" w:rsidRPr="00E77DE2" w:rsidRDefault="00DE3DB8" w:rsidP="00E15E40">
      <w:pPr>
        <w:spacing w:after="0" w:line="340" w:lineRule="exact"/>
        <w:jc w:val="center"/>
        <w:rPr>
          <w:rFonts w:eastAsia="Times New Roman"/>
          <w:b/>
          <w:szCs w:val="24"/>
          <w:lang w:eastAsia="de-DE"/>
        </w:rPr>
      </w:pPr>
    </w:p>
    <w:p w:rsidR="00DE3DB8" w:rsidRPr="00E77DE2" w:rsidRDefault="00E15E40" w:rsidP="00D6115C">
      <w:pPr>
        <w:spacing w:after="0" w:line="340" w:lineRule="exact"/>
        <w:jc w:val="center"/>
        <w:rPr>
          <w:rFonts w:eastAsia="Times New Roman"/>
          <w:b/>
          <w:sz w:val="28"/>
          <w:szCs w:val="28"/>
          <w:lang w:eastAsia="de-DE"/>
        </w:rPr>
      </w:pPr>
      <w:r w:rsidRPr="00E77DE2">
        <w:rPr>
          <w:rFonts w:eastAsia="Times New Roman"/>
          <w:b/>
          <w:sz w:val="28"/>
          <w:szCs w:val="28"/>
          <w:lang w:eastAsia="de-DE"/>
        </w:rPr>
        <w:t xml:space="preserve">Richtlinien </w:t>
      </w:r>
    </w:p>
    <w:p w:rsidR="00DE3DB8" w:rsidRPr="00E77DE2" w:rsidRDefault="00DE3DB8" w:rsidP="00D6115C">
      <w:pPr>
        <w:spacing w:after="0" w:line="340" w:lineRule="exact"/>
        <w:jc w:val="center"/>
        <w:rPr>
          <w:rFonts w:eastAsia="Times New Roman"/>
          <w:b/>
          <w:sz w:val="28"/>
          <w:szCs w:val="28"/>
          <w:lang w:eastAsia="de-DE"/>
        </w:rPr>
      </w:pPr>
      <w:r w:rsidRPr="00E77DE2">
        <w:rPr>
          <w:rFonts w:eastAsia="Times New Roman"/>
          <w:b/>
          <w:sz w:val="28"/>
          <w:szCs w:val="28"/>
          <w:lang w:eastAsia="de-DE"/>
        </w:rPr>
        <w:t>des Ministeriums für Wissenschaft, Forschung und Kunst</w:t>
      </w:r>
    </w:p>
    <w:p w:rsidR="00E15E40" w:rsidRPr="00E77DE2" w:rsidRDefault="00E15E40" w:rsidP="00D6115C">
      <w:pPr>
        <w:spacing w:after="0" w:line="340" w:lineRule="exact"/>
        <w:jc w:val="center"/>
        <w:rPr>
          <w:rFonts w:eastAsia="Times New Roman"/>
          <w:b/>
          <w:sz w:val="28"/>
          <w:szCs w:val="28"/>
          <w:lang w:eastAsia="de-DE"/>
        </w:rPr>
      </w:pPr>
      <w:r w:rsidRPr="00E77DE2">
        <w:rPr>
          <w:rFonts w:eastAsia="Times New Roman"/>
          <w:b/>
          <w:sz w:val="28"/>
          <w:szCs w:val="28"/>
          <w:lang w:eastAsia="de-DE"/>
        </w:rPr>
        <w:t>zur Förderaktivität</w:t>
      </w:r>
    </w:p>
    <w:p w:rsidR="00E15E40" w:rsidRPr="00E77DE2" w:rsidRDefault="00E15E40" w:rsidP="00E15E40">
      <w:pPr>
        <w:spacing w:after="160" w:line="340" w:lineRule="exact"/>
        <w:jc w:val="center"/>
        <w:rPr>
          <w:rFonts w:eastAsia="Times New Roman"/>
          <w:b/>
          <w:sz w:val="28"/>
          <w:szCs w:val="28"/>
          <w:lang w:eastAsia="de-DE"/>
        </w:rPr>
      </w:pPr>
      <w:r w:rsidRPr="00E77DE2">
        <w:rPr>
          <w:rFonts w:eastAsia="Times New Roman"/>
          <w:b/>
          <w:sz w:val="28"/>
          <w:szCs w:val="28"/>
          <w:lang w:eastAsia="de-DE"/>
        </w:rPr>
        <w:t>„</w:t>
      </w:r>
      <w:r w:rsidR="00D6115C" w:rsidRPr="00E77DE2">
        <w:rPr>
          <w:rFonts w:eastAsia="Times New Roman"/>
          <w:b/>
          <w:sz w:val="28"/>
          <w:szCs w:val="28"/>
          <w:lang w:eastAsia="de-DE"/>
        </w:rPr>
        <w:t>Forschungsgroßgeräte</w:t>
      </w:r>
      <w:r w:rsidR="00776DCE" w:rsidRPr="00E77DE2">
        <w:rPr>
          <w:rFonts w:eastAsia="Times New Roman"/>
          <w:b/>
          <w:sz w:val="28"/>
          <w:szCs w:val="28"/>
          <w:lang w:eastAsia="de-DE"/>
        </w:rPr>
        <w:t xml:space="preserve"> </w:t>
      </w:r>
      <w:r w:rsidR="00C44AD0" w:rsidRPr="00E77DE2">
        <w:rPr>
          <w:rFonts w:eastAsia="Times New Roman"/>
          <w:b/>
          <w:sz w:val="28"/>
          <w:szCs w:val="28"/>
          <w:lang w:eastAsia="de-DE"/>
        </w:rPr>
        <w:t>an Universitäten</w:t>
      </w:r>
      <w:r w:rsidRPr="00E77DE2">
        <w:rPr>
          <w:rFonts w:eastAsia="Times New Roman"/>
          <w:b/>
          <w:sz w:val="28"/>
          <w:szCs w:val="28"/>
          <w:lang w:eastAsia="de-DE"/>
        </w:rPr>
        <w:t>“</w:t>
      </w:r>
    </w:p>
    <w:p w:rsidR="00E15E40" w:rsidRPr="00E77DE2" w:rsidRDefault="00D53485" w:rsidP="00E15E40">
      <w:pPr>
        <w:spacing w:after="0" w:line="340" w:lineRule="exact"/>
        <w:jc w:val="center"/>
        <w:rPr>
          <w:rFonts w:eastAsia="Times New Roman"/>
          <w:szCs w:val="24"/>
          <w:u w:val="single"/>
          <w:lang w:eastAsia="de-DE"/>
        </w:rPr>
      </w:pPr>
      <w:r>
        <w:rPr>
          <w:rFonts w:eastAsia="Times New Roman"/>
          <w:szCs w:val="24"/>
          <w:lang w:eastAsia="de-DE"/>
        </w:rPr>
        <w:t xml:space="preserve">Mai </w:t>
      </w:r>
      <w:r w:rsidR="00E15E40" w:rsidRPr="00E77DE2">
        <w:rPr>
          <w:rFonts w:eastAsia="Times New Roman"/>
          <w:szCs w:val="24"/>
          <w:lang w:eastAsia="de-DE"/>
        </w:rPr>
        <w:t>201</w:t>
      </w:r>
      <w:r w:rsidR="00D6115C" w:rsidRPr="00E77DE2">
        <w:rPr>
          <w:rFonts w:eastAsia="Times New Roman"/>
          <w:szCs w:val="24"/>
          <w:lang w:eastAsia="de-DE"/>
        </w:rPr>
        <w:t>6</w:t>
      </w:r>
    </w:p>
    <w:p w:rsidR="00E15E40" w:rsidRPr="00E77DE2" w:rsidRDefault="00E15E40" w:rsidP="00E15E40">
      <w:pPr>
        <w:spacing w:after="0" w:line="340" w:lineRule="exact"/>
        <w:jc w:val="both"/>
        <w:rPr>
          <w:rFonts w:eastAsia="Times New Roman"/>
          <w:b/>
          <w:szCs w:val="24"/>
          <w:lang w:eastAsia="de-DE"/>
        </w:rPr>
      </w:pPr>
    </w:p>
    <w:p w:rsidR="00DE3DB8" w:rsidRPr="00E77DE2" w:rsidRDefault="00DE3DB8" w:rsidP="00E15E40">
      <w:pPr>
        <w:spacing w:after="0" w:line="340" w:lineRule="exact"/>
        <w:jc w:val="both"/>
        <w:rPr>
          <w:rFonts w:eastAsia="Times New Roman"/>
          <w:b/>
          <w:szCs w:val="24"/>
          <w:lang w:eastAsia="de-DE"/>
        </w:rPr>
      </w:pPr>
    </w:p>
    <w:p w:rsidR="00E15E40" w:rsidRPr="00E77DE2" w:rsidRDefault="00E15E40" w:rsidP="0000298F">
      <w:pPr>
        <w:spacing w:after="0" w:line="360" w:lineRule="atLeast"/>
        <w:jc w:val="both"/>
        <w:rPr>
          <w:rFonts w:eastAsia="Times New Roman"/>
          <w:b/>
          <w:szCs w:val="24"/>
          <w:lang w:eastAsia="de-DE"/>
        </w:rPr>
      </w:pPr>
    </w:p>
    <w:p w:rsidR="0000298F" w:rsidRPr="00E77DE2" w:rsidRDefault="0000298F" w:rsidP="00DE3DB8">
      <w:pPr>
        <w:spacing w:after="0" w:line="360" w:lineRule="atLeast"/>
        <w:jc w:val="both"/>
        <w:rPr>
          <w:rFonts w:eastAsia="Times New Roman"/>
          <w:b/>
          <w:szCs w:val="24"/>
          <w:lang w:eastAsia="de-DE"/>
        </w:rPr>
      </w:pPr>
    </w:p>
    <w:p w:rsidR="00F14856" w:rsidRPr="00E77DE2" w:rsidRDefault="0000298F" w:rsidP="00F14856">
      <w:pPr>
        <w:spacing w:after="0" w:line="360" w:lineRule="atLeast"/>
        <w:jc w:val="both"/>
        <w:rPr>
          <w:szCs w:val="24"/>
        </w:rPr>
      </w:pPr>
      <w:r w:rsidRPr="00E77DE2">
        <w:rPr>
          <w:rFonts w:eastAsia="Calibri"/>
          <w:szCs w:val="24"/>
        </w:rPr>
        <w:t xml:space="preserve">Im Rahmen des </w:t>
      </w:r>
      <w:r w:rsidR="007B628F" w:rsidRPr="00E77DE2">
        <w:rPr>
          <w:rFonts w:eastAsia="Calibri"/>
          <w:szCs w:val="24"/>
        </w:rPr>
        <w:t>Operationellen Programm</w:t>
      </w:r>
      <w:r w:rsidR="00C44AD0" w:rsidRPr="00E77DE2">
        <w:rPr>
          <w:rFonts w:eastAsia="Calibri"/>
          <w:szCs w:val="24"/>
        </w:rPr>
        <w:t>s</w:t>
      </w:r>
      <w:r w:rsidR="007B628F" w:rsidRPr="00E77DE2">
        <w:rPr>
          <w:rFonts w:eastAsia="Calibri"/>
          <w:szCs w:val="24"/>
        </w:rPr>
        <w:t xml:space="preserve"> des Europäischen Fonds für regionale Entwicklung (EFRE) in Baden-Württemberg 2014 - 2020 „Innovation und Energiewe</w:t>
      </w:r>
      <w:r w:rsidR="007B628F" w:rsidRPr="00E77DE2">
        <w:rPr>
          <w:rFonts w:eastAsia="Calibri"/>
          <w:szCs w:val="24"/>
        </w:rPr>
        <w:t>n</w:t>
      </w:r>
      <w:r w:rsidR="007B628F" w:rsidRPr="00E77DE2">
        <w:rPr>
          <w:rFonts w:eastAsia="Calibri"/>
          <w:szCs w:val="24"/>
        </w:rPr>
        <w:t>de“</w:t>
      </w:r>
      <w:r w:rsidR="002A7896" w:rsidRPr="00E77DE2">
        <w:rPr>
          <w:rStyle w:val="Funotenzeichen"/>
          <w:rFonts w:eastAsia="Calibri"/>
          <w:szCs w:val="24"/>
        </w:rPr>
        <w:footnoteReference w:id="1"/>
      </w:r>
      <w:r w:rsidR="002A7896" w:rsidRPr="00E77DE2">
        <w:rPr>
          <w:rFonts w:eastAsia="Calibri"/>
          <w:szCs w:val="24"/>
        </w:rPr>
        <w:t xml:space="preserve"> </w:t>
      </w:r>
      <w:r w:rsidRPr="00E77DE2">
        <w:rPr>
          <w:rFonts w:eastAsia="Calibri"/>
          <w:szCs w:val="24"/>
        </w:rPr>
        <w:t>unterstützt das Wissenschaftsministerium den Ausbau der Forschungsinfrastru</w:t>
      </w:r>
      <w:r w:rsidRPr="00E77DE2">
        <w:rPr>
          <w:rFonts w:eastAsia="Calibri"/>
          <w:szCs w:val="24"/>
        </w:rPr>
        <w:t>k</w:t>
      </w:r>
      <w:r w:rsidRPr="00E77DE2">
        <w:rPr>
          <w:rFonts w:eastAsia="Calibri"/>
          <w:szCs w:val="24"/>
        </w:rPr>
        <w:t>tur an den baden-württembergischen Universitäten. Ziel ist der Erhalt der Attraktivität des Forschungs- und Entwicklungsstandorts Baden-Württemberg sowie die Unterstü</w:t>
      </w:r>
      <w:r w:rsidRPr="00E77DE2">
        <w:rPr>
          <w:rFonts w:eastAsia="Calibri"/>
          <w:szCs w:val="24"/>
        </w:rPr>
        <w:t>t</w:t>
      </w:r>
      <w:r w:rsidRPr="00E77DE2">
        <w:rPr>
          <w:rFonts w:eastAsia="Calibri"/>
          <w:szCs w:val="24"/>
        </w:rPr>
        <w:t>zung der Schwerpunktsetzung und Profilbildung der Universitäten</w:t>
      </w:r>
      <w:r w:rsidR="007B628F" w:rsidRPr="00E77DE2">
        <w:t xml:space="preserve"> in den baden-württembergischen Spezialisierungsfeldern.</w:t>
      </w:r>
      <w:r w:rsidR="00674143" w:rsidRPr="00E77DE2">
        <w:rPr>
          <w:szCs w:val="24"/>
        </w:rPr>
        <w:t xml:space="preserve"> </w:t>
      </w:r>
    </w:p>
    <w:p w:rsidR="00F14856" w:rsidRPr="00E77DE2" w:rsidRDefault="00F14856" w:rsidP="00F14856">
      <w:pPr>
        <w:spacing w:after="0" w:line="360" w:lineRule="atLeast"/>
        <w:jc w:val="both"/>
        <w:rPr>
          <w:szCs w:val="24"/>
        </w:rPr>
      </w:pPr>
    </w:p>
    <w:p w:rsidR="00F14856" w:rsidRPr="00E77DE2" w:rsidRDefault="00F14856" w:rsidP="00F14856">
      <w:pPr>
        <w:spacing w:after="0" w:line="360" w:lineRule="atLeast"/>
        <w:jc w:val="both"/>
        <w:rPr>
          <w:rFonts w:eastAsia="Times New Roman"/>
          <w:szCs w:val="24"/>
          <w:lang w:eastAsia="de-DE"/>
        </w:rPr>
      </w:pPr>
      <w:r w:rsidRPr="00E77DE2">
        <w:rPr>
          <w:rFonts w:eastAsia="Times New Roman"/>
          <w:szCs w:val="24"/>
          <w:lang w:eastAsia="de-DE"/>
        </w:rPr>
        <w:t>Grundlage der Ausschreibung ist die Verwaltungsvorschrift des Ministeriums für Wi</w:t>
      </w:r>
      <w:r w:rsidRPr="00E77DE2">
        <w:rPr>
          <w:rFonts w:eastAsia="Times New Roman"/>
          <w:szCs w:val="24"/>
          <w:lang w:eastAsia="de-DE"/>
        </w:rPr>
        <w:t>s</w:t>
      </w:r>
      <w:r w:rsidRPr="00E77DE2">
        <w:rPr>
          <w:rFonts w:eastAsia="Times New Roman"/>
          <w:szCs w:val="24"/>
          <w:lang w:eastAsia="de-DE"/>
        </w:rPr>
        <w:t>senschaft, Forschung und Kunst Baden-Württemberg zur Stärkung von Forschung, technologischer Entwicklung und Innovation an staatlichen Hochschulen in Baden-Württemberg (</w:t>
      </w:r>
      <w:proofErr w:type="spellStart"/>
      <w:r w:rsidRPr="00E77DE2">
        <w:rPr>
          <w:rFonts w:eastAsia="Times New Roman"/>
          <w:szCs w:val="24"/>
          <w:lang w:eastAsia="de-DE"/>
        </w:rPr>
        <w:t>VwV</w:t>
      </w:r>
      <w:proofErr w:type="spellEnd"/>
      <w:r w:rsidRPr="00E77DE2">
        <w:rPr>
          <w:rFonts w:eastAsia="Times New Roman"/>
          <w:szCs w:val="24"/>
          <w:lang w:eastAsia="de-DE"/>
        </w:rPr>
        <w:t xml:space="preserve"> EFRE FEIH - 2014 - 2020</w:t>
      </w:r>
      <w:r w:rsidRPr="00E77DE2">
        <w:rPr>
          <w:rStyle w:val="Funotenzeichen"/>
          <w:rFonts w:eastAsia="Times New Roman"/>
          <w:szCs w:val="24"/>
          <w:lang w:eastAsia="de-DE"/>
        </w:rPr>
        <w:footnoteReference w:id="2"/>
      </w:r>
      <w:r w:rsidRPr="00E77DE2">
        <w:rPr>
          <w:rFonts w:eastAsia="Times New Roman"/>
          <w:szCs w:val="24"/>
          <w:lang w:eastAsia="de-DE"/>
        </w:rPr>
        <w:t>).</w:t>
      </w:r>
    </w:p>
    <w:p w:rsidR="007B628F" w:rsidRPr="00E77DE2" w:rsidRDefault="007B628F" w:rsidP="00DE3DB8">
      <w:pPr>
        <w:spacing w:after="0" w:line="360" w:lineRule="atLeast"/>
        <w:jc w:val="both"/>
        <w:rPr>
          <w:szCs w:val="24"/>
        </w:rPr>
      </w:pPr>
    </w:p>
    <w:p w:rsidR="00340732" w:rsidRDefault="00674143" w:rsidP="00DE3DB8">
      <w:pPr>
        <w:spacing w:after="0" w:line="360" w:lineRule="atLeast"/>
        <w:jc w:val="both"/>
      </w:pPr>
      <w:r w:rsidRPr="00E77DE2">
        <w:t xml:space="preserve"> </w:t>
      </w:r>
      <w:r w:rsidR="00340732">
        <w:br w:type="page"/>
      </w:r>
    </w:p>
    <w:p w:rsidR="00D22B62" w:rsidRPr="00E77DE2" w:rsidRDefault="00DE3DB8" w:rsidP="00DE3DB8">
      <w:pPr>
        <w:spacing w:after="120" w:line="360" w:lineRule="atLeast"/>
        <w:jc w:val="both"/>
        <w:rPr>
          <w:rFonts w:eastAsia="Calibri"/>
          <w:b/>
          <w:szCs w:val="24"/>
        </w:rPr>
      </w:pPr>
      <w:r w:rsidRPr="00E77DE2">
        <w:rPr>
          <w:rFonts w:eastAsia="Calibri"/>
          <w:b/>
          <w:szCs w:val="24"/>
        </w:rPr>
        <w:lastRenderedPageBreak/>
        <w:t>1</w:t>
      </w:r>
      <w:r w:rsidR="0000298F" w:rsidRPr="00E77DE2">
        <w:rPr>
          <w:rFonts w:eastAsia="Calibri"/>
          <w:b/>
          <w:szCs w:val="24"/>
        </w:rPr>
        <w:t>. Förderziel</w:t>
      </w:r>
    </w:p>
    <w:p w:rsidR="0000298F" w:rsidRPr="00E77DE2" w:rsidRDefault="0000298F" w:rsidP="00DE3DB8">
      <w:p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 xml:space="preserve">Durch die anteilige Finanzierung von Forschungsgroßgeräten </w:t>
      </w:r>
      <w:r w:rsidR="00062C0E" w:rsidRPr="00E77DE2">
        <w:rPr>
          <w:rFonts w:eastAsia="Calibri"/>
          <w:szCs w:val="24"/>
        </w:rPr>
        <w:t xml:space="preserve">aus dem EFRE </w:t>
      </w:r>
      <w:r w:rsidRPr="00E77DE2">
        <w:rPr>
          <w:rFonts w:eastAsia="Calibri"/>
          <w:szCs w:val="24"/>
        </w:rPr>
        <w:t>sollen Forschungsschwerpunkte der Universitäten in den Bio- und Naturwissenschaften</w:t>
      </w:r>
      <w:r w:rsidR="003E568C" w:rsidRPr="00E77DE2">
        <w:rPr>
          <w:rFonts w:eastAsia="Calibri"/>
          <w:szCs w:val="24"/>
        </w:rPr>
        <w:t xml:space="preserve"> (Bi</w:t>
      </w:r>
      <w:r w:rsidR="003E568C" w:rsidRPr="00E77DE2">
        <w:rPr>
          <w:rFonts w:eastAsia="Calibri"/>
          <w:szCs w:val="24"/>
        </w:rPr>
        <w:t>o</w:t>
      </w:r>
      <w:r w:rsidR="003E568C" w:rsidRPr="00E77DE2">
        <w:rPr>
          <w:rFonts w:eastAsia="Calibri"/>
          <w:szCs w:val="24"/>
        </w:rPr>
        <w:t xml:space="preserve">technologie, </w:t>
      </w:r>
      <w:proofErr w:type="spellStart"/>
      <w:r w:rsidR="003E568C" w:rsidRPr="00E77DE2">
        <w:rPr>
          <w:rFonts w:eastAsia="Calibri"/>
          <w:szCs w:val="24"/>
        </w:rPr>
        <w:t>Advanced</w:t>
      </w:r>
      <w:proofErr w:type="spellEnd"/>
      <w:r w:rsidR="003E568C" w:rsidRPr="00E77DE2">
        <w:rPr>
          <w:rFonts w:eastAsia="Calibri"/>
          <w:szCs w:val="24"/>
        </w:rPr>
        <w:t xml:space="preserve"> Materials, Nanotechnologie, </w:t>
      </w:r>
      <w:proofErr w:type="spellStart"/>
      <w:r w:rsidR="003E568C" w:rsidRPr="00E77DE2">
        <w:rPr>
          <w:rFonts w:eastAsia="Calibri"/>
          <w:szCs w:val="24"/>
        </w:rPr>
        <w:t>Photonik</w:t>
      </w:r>
      <w:proofErr w:type="spellEnd"/>
      <w:r w:rsidR="003E568C" w:rsidRPr="00E77DE2">
        <w:rPr>
          <w:rFonts w:eastAsia="Calibri"/>
          <w:szCs w:val="24"/>
        </w:rPr>
        <w:t>)</w:t>
      </w:r>
      <w:r w:rsidRPr="00E77DE2">
        <w:rPr>
          <w:rFonts w:eastAsia="Calibri"/>
          <w:szCs w:val="24"/>
        </w:rPr>
        <w:t>, insbesondere im eur</w:t>
      </w:r>
      <w:r w:rsidRPr="00E77DE2">
        <w:rPr>
          <w:rFonts w:eastAsia="Calibri"/>
          <w:szCs w:val="24"/>
        </w:rPr>
        <w:t>o</w:t>
      </w:r>
      <w:r w:rsidRPr="00E77DE2">
        <w:rPr>
          <w:rFonts w:eastAsia="Calibri"/>
          <w:szCs w:val="24"/>
        </w:rPr>
        <w:t xml:space="preserve">päischem Kontext, gezielt gestärkt und neue Forschungsfelder erschlossen werden. </w:t>
      </w:r>
    </w:p>
    <w:p w:rsidR="00DE3DB8" w:rsidRPr="00E77DE2" w:rsidRDefault="00DE3DB8" w:rsidP="00DE3DB8">
      <w:pPr>
        <w:spacing w:after="0" w:line="360" w:lineRule="atLeast"/>
        <w:jc w:val="both"/>
        <w:rPr>
          <w:rFonts w:eastAsia="Calibri"/>
          <w:szCs w:val="24"/>
        </w:rPr>
      </w:pPr>
    </w:p>
    <w:p w:rsidR="0000298F" w:rsidRPr="00E77DE2" w:rsidRDefault="00DE3DB8" w:rsidP="00D22B62">
      <w:pPr>
        <w:spacing w:after="120" w:line="360" w:lineRule="atLeast"/>
        <w:jc w:val="both"/>
        <w:rPr>
          <w:rFonts w:eastAsia="Calibri"/>
          <w:b/>
        </w:rPr>
      </w:pPr>
      <w:r w:rsidRPr="00E77DE2">
        <w:rPr>
          <w:rFonts w:eastAsia="Calibri"/>
          <w:b/>
        </w:rPr>
        <w:t>2</w:t>
      </w:r>
      <w:r w:rsidR="0000298F" w:rsidRPr="00E77DE2">
        <w:rPr>
          <w:rFonts w:eastAsia="Calibri"/>
          <w:b/>
        </w:rPr>
        <w:t xml:space="preserve">. </w:t>
      </w:r>
      <w:r w:rsidRPr="00E77DE2">
        <w:rPr>
          <w:rFonts w:eastAsia="Calibri"/>
          <w:b/>
        </w:rPr>
        <w:t>Antragsberechtigte</w:t>
      </w:r>
    </w:p>
    <w:p w:rsidR="00D22B62" w:rsidRPr="00E77DE2" w:rsidRDefault="0000298F" w:rsidP="00D22B62">
      <w:p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>Antrags- und zuwendungsberechtigt sind ausschließlich staatliche Universitäten</w:t>
      </w:r>
      <w:r w:rsidR="00D22B62" w:rsidRPr="00E77DE2">
        <w:rPr>
          <w:rFonts w:eastAsia="Calibri"/>
          <w:szCs w:val="24"/>
        </w:rPr>
        <w:t xml:space="preserve"> mit Sitz in Baden-Württemberg.</w:t>
      </w:r>
      <w:r w:rsidR="004E5F54" w:rsidRPr="00E77DE2">
        <w:rPr>
          <w:rFonts w:eastAsia="Calibri"/>
          <w:szCs w:val="24"/>
        </w:rPr>
        <w:t xml:space="preserve"> </w:t>
      </w:r>
    </w:p>
    <w:p w:rsidR="00A5216D" w:rsidRPr="00E77DE2" w:rsidRDefault="00A5216D" w:rsidP="00D22B62">
      <w:pPr>
        <w:spacing w:after="0" w:line="360" w:lineRule="atLeast"/>
        <w:jc w:val="both"/>
        <w:rPr>
          <w:rFonts w:eastAsia="Calibri"/>
          <w:b/>
        </w:rPr>
      </w:pPr>
    </w:p>
    <w:p w:rsidR="0000298F" w:rsidRPr="00E77DE2" w:rsidRDefault="00DE3DB8" w:rsidP="00AC3448">
      <w:pPr>
        <w:keepNext/>
        <w:spacing w:after="120" w:line="360" w:lineRule="atLeast"/>
        <w:outlineLvl w:val="0"/>
        <w:rPr>
          <w:rFonts w:eastAsia="Times New Roman"/>
          <w:b/>
          <w:bCs/>
          <w:kern w:val="32"/>
          <w:szCs w:val="24"/>
          <w:lang w:eastAsia="x-none"/>
        </w:rPr>
      </w:pPr>
      <w:r w:rsidRPr="00E77DE2">
        <w:rPr>
          <w:rFonts w:eastAsia="Calibri"/>
          <w:b/>
          <w:szCs w:val="24"/>
        </w:rPr>
        <w:t>3</w:t>
      </w:r>
      <w:r w:rsidR="0000298F" w:rsidRPr="00E77DE2">
        <w:rPr>
          <w:rFonts w:eastAsia="Calibri"/>
          <w:b/>
          <w:szCs w:val="24"/>
        </w:rPr>
        <w:t xml:space="preserve">. </w:t>
      </w:r>
      <w:r w:rsidR="0000298F" w:rsidRPr="00E77DE2">
        <w:rPr>
          <w:rFonts w:eastAsia="Times New Roman"/>
          <w:b/>
          <w:bCs/>
          <w:kern w:val="32"/>
          <w:szCs w:val="24"/>
          <w:lang w:val="x-none" w:eastAsia="x-none"/>
        </w:rPr>
        <w:t>Art und Umfang der Förderung</w:t>
      </w:r>
    </w:p>
    <w:p w:rsidR="007B628F" w:rsidRPr="00E77DE2" w:rsidRDefault="00F5171C" w:rsidP="007B628F">
      <w:pPr>
        <w:spacing w:after="12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 xml:space="preserve">Förderungen werden in Form eines Zuschusses </w:t>
      </w:r>
      <w:r w:rsidR="00062C0E" w:rsidRPr="00E77DE2">
        <w:rPr>
          <w:rFonts w:eastAsia="Calibri"/>
          <w:szCs w:val="24"/>
        </w:rPr>
        <w:t xml:space="preserve">aus dem EFRE </w:t>
      </w:r>
      <w:r w:rsidR="00121D8F" w:rsidRPr="00E77DE2">
        <w:rPr>
          <w:rFonts w:eastAsia="Calibri"/>
          <w:szCs w:val="24"/>
        </w:rPr>
        <w:t>zum Erwerb eines Forschungsgroßgeräts im Verfahren gemäß Art. 91b GG der Deutschen Forschung</w:t>
      </w:r>
      <w:r w:rsidR="00121D8F" w:rsidRPr="00E77DE2">
        <w:rPr>
          <w:rFonts w:eastAsia="Calibri"/>
          <w:szCs w:val="24"/>
        </w:rPr>
        <w:t>s</w:t>
      </w:r>
      <w:r w:rsidR="00121D8F" w:rsidRPr="00E77DE2">
        <w:rPr>
          <w:rFonts w:eastAsia="Calibri"/>
          <w:szCs w:val="24"/>
        </w:rPr>
        <w:t xml:space="preserve">gemeinschaft (DFG) </w:t>
      </w:r>
      <w:r w:rsidRPr="00E77DE2">
        <w:rPr>
          <w:rFonts w:eastAsia="Calibri"/>
          <w:szCs w:val="24"/>
        </w:rPr>
        <w:t xml:space="preserve">gewährt. </w:t>
      </w:r>
      <w:r w:rsidR="00CD22A5" w:rsidRPr="00E77DE2">
        <w:rPr>
          <w:rFonts w:eastAsia="Calibri"/>
          <w:szCs w:val="24"/>
        </w:rPr>
        <w:t xml:space="preserve">Der Fördersatz des EFRE beträgt 50 </w:t>
      </w:r>
      <w:r w:rsidR="00B83ED8" w:rsidRPr="00E77DE2">
        <w:rPr>
          <w:rFonts w:eastAsia="Calibri"/>
          <w:szCs w:val="24"/>
        </w:rPr>
        <w:t xml:space="preserve">Prozent </w:t>
      </w:r>
      <w:r w:rsidR="00CD22A5" w:rsidRPr="00E77DE2">
        <w:rPr>
          <w:rFonts w:eastAsia="Calibri"/>
          <w:szCs w:val="24"/>
        </w:rPr>
        <w:t xml:space="preserve">der zur Kofinanzierung vorgesehenen zuwendungsfähigen Ausgaben des Vorhabens, die als tatsächlich entstanden und gezahlt nachzuweisen sind. </w:t>
      </w:r>
    </w:p>
    <w:p w:rsidR="0000298F" w:rsidRPr="00E77DE2" w:rsidRDefault="0000298F" w:rsidP="00A5216D">
      <w:pPr>
        <w:spacing w:after="12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>Für die</w:t>
      </w:r>
      <w:r w:rsidR="00121D8F" w:rsidRPr="00E77DE2">
        <w:rPr>
          <w:rFonts w:eastAsia="Calibri"/>
          <w:szCs w:val="24"/>
        </w:rPr>
        <w:t xml:space="preserve">se Förderung </w:t>
      </w:r>
      <w:r w:rsidRPr="00E77DE2">
        <w:rPr>
          <w:rFonts w:eastAsia="Calibri"/>
          <w:szCs w:val="24"/>
        </w:rPr>
        <w:t xml:space="preserve">stehen dem Wissenschaftsministerium insgesamt 2,3 Mio. </w:t>
      </w:r>
      <w:r w:rsidR="004D317A">
        <w:rPr>
          <w:rFonts w:eastAsia="Calibri"/>
          <w:szCs w:val="24"/>
        </w:rPr>
        <w:t>Euro</w:t>
      </w:r>
      <w:r w:rsidRPr="00E77DE2">
        <w:rPr>
          <w:rFonts w:eastAsia="Calibri"/>
          <w:szCs w:val="24"/>
        </w:rPr>
        <w:t xml:space="preserve"> aus Mitteln des EFRE zur Verfügung. Die Finanzierung durch EFRE-Mittel ersetzt hierbei </w:t>
      </w:r>
      <w:r w:rsidR="00EE24D0" w:rsidRPr="00E77DE2">
        <w:rPr>
          <w:rFonts w:eastAsia="Calibri"/>
          <w:szCs w:val="24"/>
          <w:u w:val="single"/>
        </w:rPr>
        <w:t>nicht</w:t>
      </w:r>
      <w:r w:rsidR="00EE24D0" w:rsidRPr="00E77DE2">
        <w:rPr>
          <w:rFonts w:eastAsia="Calibri"/>
          <w:szCs w:val="24"/>
        </w:rPr>
        <w:t xml:space="preserve"> </w:t>
      </w:r>
      <w:r w:rsidRPr="00E77DE2">
        <w:rPr>
          <w:rFonts w:eastAsia="Calibri"/>
          <w:szCs w:val="24"/>
        </w:rPr>
        <w:t>den</w:t>
      </w:r>
      <w:r w:rsidR="00121D8F" w:rsidRPr="00E77DE2">
        <w:rPr>
          <w:rFonts w:eastAsia="Calibri"/>
          <w:szCs w:val="24"/>
        </w:rPr>
        <w:t xml:space="preserve"> üblichen</w:t>
      </w:r>
      <w:r w:rsidRPr="00E77DE2">
        <w:rPr>
          <w:rFonts w:eastAsia="Calibri"/>
          <w:szCs w:val="24"/>
        </w:rPr>
        <w:t xml:space="preserve"> Landesanteil in der Bund-Länder-Finanzierung</w:t>
      </w:r>
      <w:r w:rsidR="00121D8F" w:rsidRPr="00E77DE2">
        <w:rPr>
          <w:rFonts w:eastAsia="Calibri"/>
          <w:szCs w:val="24"/>
        </w:rPr>
        <w:t xml:space="preserve"> im 91b-Verfahren</w:t>
      </w:r>
      <w:r w:rsidRPr="00E77DE2">
        <w:rPr>
          <w:rFonts w:eastAsia="Calibri"/>
          <w:szCs w:val="24"/>
        </w:rPr>
        <w:t xml:space="preserve">, sondern wird vielmehr vom </w:t>
      </w:r>
      <w:r w:rsidR="007B628F" w:rsidRPr="00E77DE2">
        <w:rPr>
          <w:rFonts w:eastAsia="Calibri"/>
          <w:szCs w:val="24"/>
        </w:rPr>
        <w:t>zuwendungs</w:t>
      </w:r>
      <w:r w:rsidRPr="00E77DE2">
        <w:rPr>
          <w:rFonts w:eastAsia="Calibri"/>
          <w:szCs w:val="24"/>
        </w:rPr>
        <w:t>fähigen Gesamtbetrag</w:t>
      </w:r>
      <w:r w:rsidR="00121D8F" w:rsidRPr="00E77DE2">
        <w:rPr>
          <w:rFonts w:eastAsia="Calibri"/>
          <w:szCs w:val="24"/>
        </w:rPr>
        <w:t xml:space="preserve"> </w:t>
      </w:r>
      <w:r w:rsidRPr="00E77DE2">
        <w:rPr>
          <w:rFonts w:eastAsia="Calibri"/>
          <w:szCs w:val="24"/>
        </w:rPr>
        <w:t xml:space="preserve">abgezogen. </w:t>
      </w:r>
      <w:r w:rsidR="003E568C" w:rsidRPr="00E77DE2">
        <w:rPr>
          <w:rFonts w:eastAsia="Calibri"/>
          <w:szCs w:val="24"/>
        </w:rPr>
        <w:t>Für den Restbetrag gilt dann die Kostenteilung zwischen Bund und Land bzw. Unive</w:t>
      </w:r>
      <w:r w:rsidR="003E568C" w:rsidRPr="00E77DE2">
        <w:rPr>
          <w:rFonts w:eastAsia="Calibri"/>
          <w:szCs w:val="24"/>
        </w:rPr>
        <w:t>r</w:t>
      </w:r>
      <w:r w:rsidR="003E568C" w:rsidRPr="00E77DE2">
        <w:rPr>
          <w:rFonts w:eastAsia="Calibri"/>
          <w:szCs w:val="24"/>
        </w:rPr>
        <w:t xml:space="preserve">sität. </w:t>
      </w:r>
      <w:r w:rsidRPr="00E77DE2">
        <w:rPr>
          <w:rFonts w:eastAsia="Calibri"/>
          <w:szCs w:val="24"/>
        </w:rPr>
        <w:t>Das heißt</w:t>
      </w:r>
      <w:r w:rsidR="00B83ED8" w:rsidRPr="00E77DE2">
        <w:rPr>
          <w:rFonts w:eastAsia="Calibri"/>
          <w:szCs w:val="24"/>
        </w:rPr>
        <w:t>, dass</w:t>
      </w:r>
      <w:r w:rsidRPr="00E77DE2">
        <w:rPr>
          <w:rFonts w:eastAsia="Calibri"/>
          <w:szCs w:val="24"/>
        </w:rPr>
        <w:t xml:space="preserve"> die antragstellende Universität 25</w:t>
      </w:r>
      <w:r w:rsidR="00B83ED8" w:rsidRPr="00E77DE2">
        <w:rPr>
          <w:rFonts w:eastAsia="Calibri"/>
          <w:szCs w:val="24"/>
        </w:rPr>
        <w:t xml:space="preserve"> Prozent</w:t>
      </w:r>
      <w:r w:rsidRPr="00E77DE2">
        <w:rPr>
          <w:rFonts w:eastAsia="Calibri"/>
          <w:szCs w:val="24"/>
        </w:rPr>
        <w:t xml:space="preserve"> der </w:t>
      </w:r>
      <w:r w:rsidR="007B628F" w:rsidRPr="00E77DE2">
        <w:rPr>
          <w:rFonts w:eastAsia="Calibri"/>
          <w:szCs w:val="24"/>
        </w:rPr>
        <w:t>zuwendungs</w:t>
      </w:r>
      <w:r w:rsidRPr="00E77DE2">
        <w:rPr>
          <w:rFonts w:eastAsia="Calibri"/>
          <w:szCs w:val="24"/>
        </w:rPr>
        <w:t>fäh</w:t>
      </w:r>
      <w:r w:rsidRPr="00E77DE2">
        <w:rPr>
          <w:rFonts w:eastAsia="Calibri"/>
          <w:szCs w:val="24"/>
        </w:rPr>
        <w:t>i</w:t>
      </w:r>
      <w:r w:rsidRPr="00E77DE2">
        <w:rPr>
          <w:rFonts w:eastAsia="Calibri"/>
          <w:szCs w:val="24"/>
        </w:rPr>
        <w:t>gen Gesamtkosten als Eigenbeitrag bereitstellen</w:t>
      </w:r>
      <w:r w:rsidR="00B83ED8" w:rsidRPr="00E77DE2">
        <w:rPr>
          <w:rFonts w:eastAsia="Calibri"/>
          <w:szCs w:val="24"/>
        </w:rPr>
        <w:t xml:space="preserve"> muss</w:t>
      </w:r>
      <w:r w:rsidRPr="00E77DE2">
        <w:rPr>
          <w:rFonts w:eastAsia="Calibri"/>
          <w:szCs w:val="24"/>
        </w:rPr>
        <w:t>.</w:t>
      </w:r>
    </w:p>
    <w:p w:rsidR="003352FA" w:rsidRPr="00E77DE2" w:rsidRDefault="003352FA" w:rsidP="00A5216D">
      <w:pPr>
        <w:spacing w:after="12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>D</w:t>
      </w:r>
      <w:r w:rsidR="00062C0E" w:rsidRPr="00E77DE2">
        <w:rPr>
          <w:rFonts w:eastAsia="Calibri"/>
          <w:szCs w:val="24"/>
        </w:rPr>
        <w:t>er Gesamtbetrag des Vorhabens</w:t>
      </w:r>
      <w:r w:rsidRPr="00E77DE2">
        <w:rPr>
          <w:rFonts w:eastAsia="Calibri"/>
          <w:szCs w:val="24"/>
        </w:rPr>
        <w:t xml:space="preserve"> (brutto) muss </w:t>
      </w:r>
      <w:r w:rsidR="00F14856" w:rsidRPr="00E77DE2">
        <w:rPr>
          <w:rFonts w:eastAsia="Calibri"/>
          <w:szCs w:val="24"/>
        </w:rPr>
        <w:t xml:space="preserve">zwischen </w:t>
      </w:r>
      <w:r w:rsidRPr="00E77DE2">
        <w:rPr>
          <w:rFonts w:eastAsia="Calibri"/>
          <w:szCs w:val="24"/>
        </w:rPr>
        <w:t>200.000</w:t>
      </w:r>
      <w:r w:rsidR="00F14856" w:rsidRPr="00E77DE2">
        <w:rPr>
          <w:rFonts w:eastAsia="Calibri"/>
          <w:szCs w:val="24"/>
        </w:rPr>
        <w:t xml:space="preserve"> und 800.000</w:t>
      </w:r>
      <w:r w:rsidRPr="00E77DE2">
        <w:rPr>
          <w:rFonts w:eastAsia="Calibri"/>
          <w:szCs w:val="24"/>
        </w:rPr>
        <w:t xml:space="preserve"> </w:t>
      </w:r>
      <w:r w:rsidR="00B83ED8" w:rsidRPr="00E77DE2">
        <w:rPr>
          <w:rFonts w:eastAsia="Calibri"/>
          <w:szCs w:val="24"/>
        </w:rPr>
        <w:t xml:space="preserve">Euro </w:t>
      </w:r>
      <w:r w:rsidRPr="00E77DE2">
        <w:rPr>
          <w:rFonts w:eastAsia="Calibri"/>
          <w:szCs w:val="24"/>
        </w:rPr>
        <w:t xml:space="preserve">liegen. </w:t>
      </w:r>
    </w:p>
    <w:p w:rsidR="00A5216D" w:rsidRPr="00E77DE2" w:rsidRDefault="00A5216D" w:rsidP="00A5216D">
      <w:pPr>
        <w:spacing w:after="0" w:line="360" w:lineRule="atLeast"/>
        <w:jc w:val="both"/>
        <w:rPr>
          <w:rFonts w:eastAsia="Calibri"/>
          <w:b/>
        </w:rPr>
      </w:pPr>
    </w:p>
    <w:p w:rsidR="00184FD6" w:rsidRPr="00E77DE2" w:rsidRDefault="00DE3DB8" w:rsidP="00036404">
      <w:pPr>
        <w:spacing w:after="120" w:line="360" w:lineRule="atLeast"/>
        <w:jc w:val="both"/>
        <w:rPr>
          <w:rFonts w:eastAsia="Calibri"/>
          <w:szCs w:val="24"/>
        </w:rPr>
      </w:pPr>
      <w:r w:rsidRPr="00E77DE2">
        <w:rPr>
          <w:rFonts w:eastAsia="Times New Roman"/>
          <w:b/>
          <w:szCs w:val="24"/>
          <w:lang w:eastAsia="de-DE"/>
        </w:rPr>
        <w:t>4</w:t>
      </w:r>
      <w:r w:rsidR="00127F4B" w:rsidRPr="00E77DE2">
        <w:rPr>
          <w:rFonts w:eastAsia="Times New Roman"/>
          <w:b/>
          <w:szCs w:val="24"/>
          <w:lang w:eastAsia="de-DE"/>
        </w:rPr>
        <w:t xml:space="preserve">. </w:t>
      </w:r>
      <w:r w:rsidR="00A5216D" w:rsidRPr="00E77DE2">
        <w:rPr>
          <w:rFonts w:eastAsia="Calibri"/>
          <w:b/>
          <w:szCs w:val="24"/>
        </w:rPr>
        <w:t>Förder</w:t>
      </w:r>
      <w:r w:rsidR="00127F4B" w:rsidRPr="00E77DE2">
        <w:rPr>
          <w:rFonts w:eastAsia="Calibri"/>
          <w:b/>
          <w:szCs w:val="24"/>
        </w:rPr>
        <w:t xml:space="preserve">voraussetzungen / </w:t>
      </w:r>
      <w:r w:rsidR="00A5216D" w:rsidRPr="00E77DE2">
        <w:rPr>
          <w:rFonts w:eastAsia="Calibri"/>
          <w:b/>
          <w:szCs w:val="24"/>
        </w:rPr>
        <w:t>Auswahl</w:t>
      </w:r>
      <w:r w:rsidR="00127F4B" w:rsidRPr="00E77DE2">
        <w:rPr>
          <w:rFonts w:eastAsia="Calibri"/>
          <w:b/>
          <w:szCs w:val="24"/>
        </w:rPr>
        <w:t>kriterien</w:t>
      </w:r>
    </w:p>
    <w:p w:rsidR="0000298F" w:rsidRPr="00E77DE2" w:rsidRDefault="002A7896" w:rsidP="002A7896">
      <w:p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 xml:space="preserve">Die Fördervoraussetzungen richten sich nach der </w:t>
      </w:r>
      <w:proofErr w:type="spellStart"/>
      <w:r w:rsidRPr="00E77DE2">
        <w:rPr>
          <w:rFonts w:eastAsia="Times New Roman"/>
          <w:szCs w:val="24"/>
          <w:lang w:eastAsia="de-DE"/>
        </w:rPr>
        <w:t>VwV</w:t>
      </w:r>
      <w:proofErr w:type="spellEnd"/>
      <w:r w:rsidRPr="00E77DE2">
        <w:rPr>
          <w:rFonts w:eastAsia="Times New Roman"/>
          <w:szCs w:val="24"/>
          <w:lang w:eastAsia="de-DE"/>
        </w:rPr>
        <w:t xml:space="preserve"> EFRE FEIH - 2014 - 2020 </w:t>
      </w:r>
      <w:r w:rsidR="00B83ED8" w:rsidRPr="00E77DE2">
        <w:rPr>
          <w:rFonts w:eastAsia="Times New Roman"/>
          <w:szCs w:val="24"/>
          <w:lang w:eastAsia="de-DE"/>
        </w:rPr>
        <w:t xml:space="preserve">und nach den </w:t>
      </w:r>
      <w:r w:rsidR="00EE24D0" w:rsidRPr="00E77DE2">
        <w:rPr>
          <w:rFonts w:eastAsia="Times New Roman"/>
          <w:szCs w:val="24"/>
          <w:lang w:eastAsia="de-DE"/>
        </w:rPr>
        <w:t xml:space="preserve">relevanten </w:t>
      </w:r>
      <w:r w:rsidR="00B83ED8" w:rsidRPr="00E77DE2">
        <w:rPr>
          <w:rFonts w:eastAsia="Times New Roman"/>
          <w:szCs w:val="24"/>
          <w:lang w:eastAsia="de-DE"/>
        </w:rPr>
        <w:t xml:space="preserve">Rechtsgrundlagen, auf die dort verwiesen wird, </w:t>
      </w:r>
      <w:r w:rsidR="00B83ED8" w:rsidRPr="00E77DE2">
        <w:rPr>
          <w:rFonts w:eastAsia="Calibri"/>
          <w:szCs w:val="24"/>
        </w:rPr>
        <w:t>sowie</w:t>
      </w:r>
      <w:r w:rsidRPr="00E77DE2">
        <w:rPr>
          <w:rFonts w:eastAsia="Calibri"/>
          <w:szCs w:val="24"/>
        </w:rPr>
        <w:t xml:space="preserve"> den Be</w:t>
      </w:r>
      <w:r w:rsidR="00F14856" w:rsidRPr="00E77DE2">
        <w:rPr>
          <w:rFonts w:eastAsia="Calibri"/>
          <w:szCs w:val="24"/>
        </w:rPr>
        <w:softHyphen/>
      </w:r>
      <w:r w:rsidRPr="00E77DE2">
        <w:rPr>
          <w:rFonts w:eastAsia="Calibri"/>
          <w:szCs w:val="24"/>
        </w:rPr>
        <w:t>stimmungen dieser Ausschreibung.</w:t>
      </w:r>
    </w:p>
    <w:p w:rsidR="00D22B62" w:rsidRPr="00E77DE2" w:rsidRDefault="00D22B62" w:rsidP="00036404">
      <w:pPr>
        <w:spacing w:after="0" w:line="360" w:lineRule="atLeast"/>
        <w:jc w:val="both"/>
        <w:rPr>
          <w:szCs w:val="24"/>
        </w:rPr>
      </w:pPr>
    </w:p>
    <w:p w:rsidR="00D22B62" w:rsidRPr="00E77DE2" w:rsidRDefault="00D22B62" w:rsidP="00036404">
      <w:pPr>
        <w:spacing w:after="0" w:line="360" w:lineRule="atLeast"/>
        <w:jc w:val="both"/>
        <w:rPr>
          <w:szCs w:val="24"/>
        </w:rPr>
      </w:pPr>
      <w:r w:rsidRPr="00E77DE2">
        <w:rPr>
          <w:szCs w:val="24"/>
        </w:rPr>
        <w:t>Die Vorhaben werden nach den folgenden Kriterien ausgewählt:</w:t>
      </w:r>
    </w:p>
    <w:p w:rsidR="00D22B62" w:rsidRPr="00E77DE2" w:rsidRDefault="00D22B62" w:rsidP="00036404">
      <w:pPr>
        <w:pStyle w:val="Listenabsatz"/>
        <w:numPr>
          <w:ilvl w:val="0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lastRenderedPageBreak/>
        <w:t>Das Vorhaben muss die vom EFRE-Begleitausschuss gebilligten Projektau</w:t>
      </w:r>
      <w:r w:rsidRPr="00E77DE2">
        <w:rPr>
          <w:szCs w:val="24"/>
        </w:rPr>
        <w:t>s</w:t>
      </w:r>
      <w:r w:rsidRPr="00E77DE2">
        <w:rPr>
          <w:szCs w:val="24"/>
        </w:rPr>
        <w:t>wahlkriterien erfüllen:</w:t>
      </w:r>
    </w:p>
    <w:p w:rsidR="00D22B62" w:rsidRPr="00E77DE2" w:rsidRDefault="00D22B62" w:rsidP="00036404">
      <w:pPr>
        <w:pStyle w:val="Listenabsatz"/>
        <w:numPr>
          <w:ilvl w:val="1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t>Das Vorhaben muss Innovationspotential aufweisen.</w:t>
      </w:r>
    </w:p>
    <w:p w:rsidR="00DE3DB8" w:rsidRPr="00E77DE2" w:rsidRDefault="00D22B62" w:rsidP="00036404">
      <w:pPr>
        <w:pStyle w:val="Listenabsatz"/>
        <w:numPr>
          <w:ilvl w:val="1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t>Es muss einen Beitrag zur Innovationsstrategie des Landes leisten und die darin genan</w:t>
      </w:r>
      <w:r w:rsidR="008C0F9D" w:rsidRPr="00E77DE2">
        <w:rPr>
          <w:szCs w:val="24"/>
        </w:rPr>
        <w:t xml:space="preserve">nten </w:t>
      </w:r>
      <w:r w:rsidR="006D4395" w:rsidRPr="00E77DE2">
        <w:rPr>
          <w:szCs w:val="24"/>
        </w:rPr>
        <w:t>Spezialisierungsfelder</w:t>
      </w:r>
    </w:p>
    <w:p w:rsidR="006D4395" w:rsidRPr="00E77DE2" w:rsidRDefault="00BF42CC" w:rsidP="00036404">
      <w:pPr>
        <w:pStyle w:val="Listenabsatz"/>
        <w:numPr>
          <w:ilvl w:val="2"/>
          <w:numId w:val="7"/>
        </w:numPr>
        <w:spacing w:after="0" w:line="360" w:lineRule="atLeast"/>
        <w:contextualSpacing w:val="0"/>
        <w:jc w:val="both"/>
        <w:rPr>
          <w:szCs w:val="24"/>
        </w:rPr>
      </w:pPr>
      <w:proofErr w:type="spellStart"/>
      <w:r w:rsidRPr="00E77DE2">
        <w:rPr>
          <w:szCs w:val="24"/>
        </w:rPr>
        <w:t>Advanced</w:t>
      </w:r>
      <w:proofErr w:type="spellEnd"/>
      <w:r w:rsidRPr="00E77DE2">
        <w:rPr>
          <w:szCs w:val="24"/>
        </w:rPr>
        <w:t xml:space="preserve"> Materials</w:t>
      </w:r>
      <w:r w:rsidR="00F5161A" w:rsidRPr="00E77DE2">
        <w:rPr>
          <w:szCs w:val="24"/>
        </w:rPr>
        <w:t>,</w:t>
      </w:r>
    </w:p>
    <w:p w:rsidR="006D4395" w:rsidRPr="00E77DE2" w:rsidRDefault="006D4395" w:rsidP="00036404">
      <w:pPr>
        <w:pStyle w:val="Listenabsatz"/>
        <w:numPr>
          <w:ilvl w:val="2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t>Biotechnologie</w:t>
      </w:r>
      <w:r w:rsidR="0055147D" w:rsidRPr="00E77DE2">
        <w:rPr>
          <w:szCs w:val="24"/>
        </w:rPr>
        <w:t xml:space="preserve"> (Biomedizinische Forschungsvorhaben sind von der Förderung ausgeschlossen)</w:t>
      </w:r>
      <w:r w:rsidRPr="00E77DE2">
        <w:rPr>
          <w:szCs w:val="24"/>
        </w:rPr>
        <w:t xml:space="preserve">, </w:t>
      </w:r>
    </w:p>
    <w:p w:rsidR="006D4395" w:rsidRPr="00E77DE2" w:rsidRDefault="00BF42CC" w:rsidP="00036404">
      <w:pPr>
        <w:pStyle w:val="Listenabsatz"/>
        <w:numPr>
          <w:ilvl w:val="2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t xml:space="preserve">Nanotechnologie </w:t>
      </w:r>
      <w:r w:rsidR="006D4395" w:rsidRPr="00E77DE2">
        <w:rPr>
          <w:szCs w:val="24"/>
        </w:rPr>
        <w:t>oder</w:t>
      </w:r>
    </w:p>
    <w:p w:rsidR="008C0F9D" w:rsidRPr="00E77DE2" w:rsidRDefault="006D4395" w:rsidP="00036404">
      <w:pPr>
        <w:pStyle w:val="Listenabsatz"/>
        <w:numPr>
          <w:ilvl w:val="2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t>Photonik</w:t>
      </w:r>
    </w:p>
    <w:p w:rsidR="00D22B62" w:rsidRPr="00E77DE2" w:rsidRDefault="00D22B62" w:rsidP="00036404">
      <w:pPr>
        <w:spacing w:after="0" w:line="360" w:lineRule="atLeast"/>
        <w:ind w:left="708" w:firstLine="708"/>
        <w:jc w:val="both"/>
        <w:rPr>
          <w:szCs w:val="24"/>
        </w:rPr>
      </w:pPr>
      <w:r w:rsidRPr="00E77DE2">
        <w:rPr>
          <w:szCs w:val="24"/>
        </w:rPr>
        <w:t>betreffen.</w:t>
      </w:r>
    </w:p>
    <w:p w:rsidR="00AB33C0" w:rsidRPr="00E77DE2" w:rsidRDefault="00AB33C0" w:rsidP="00036404">
      <w:pPr>
        <w:pStyle w:val="Listenabsatz"/>
        <w:numPr>
          <w:ilvl w:val="1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t>Es muss einen Beitrag zum Spezifischen Ziel 1 des OP EFRE „Innovat</w:t>
      </w:r>
      <w:r w:rsidRPr="00E77DE2">
        <w:rPr>
          <w:szCs w:val="24"/>
        </w:rPr>
        <w:t>i</w:t>
      </w:r>
      <w:r w:rsidRPr="00E77DE2">
        <w:rPr>
          <w:szCs w:val="24"/>
        </w:rPr>
        <w:t>on und Energiewende“ 2014-2020 - „Stärkung der Forschungskapazit</w:t>
      </w:r>
      <w:r w:rsidRPr="00E77DE2">
        <w:rPr>
          <w:szCs w:val="24"/>
        </w:rPr>
        <w:t>ä</w:t>
      </w:r>
      <w:r w:rsidRPr="00E77DE2">
        <w:rPr>
          <w:szCs w:val="24"/>
        </w:rPr>
        <w:t>ten der angewandten Wissenschaft und der Spitzenforschung sowie der Innovationskapazitäten in den Spezialisierungsfeldern Baden-Württembergs“ - leisten.</w:t>
      </w:r>
    </w:p>
    <w:p w:rsidR="00D22B62" w:rsidRPr="00E77DE2" w:rsidRDefault="00D22B62" w:rsidP="00036404">
      <w:pPr>
        <w:pStyle w:val="Listenabsatz"/>
        <w:numPr>
          <w:ilvl w:val="1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t>Es muss dazu beitragen, die Querschnittsziele des OP EFRE „Innovat</w:t>
      </w:r>
      <w:r w:rsidRPr="00E77DE2">
        <w:rPr>
          <w:szCs w:val="24"/>
        </w:rPr>
        <w:t>i</w:t>
      </w:r>
      <w:r w:rsidRPr="00E77DE2">
        <w:rPr>
          <w:szCs w:val="24"/>
        </w:rPr>
        <w:t>on und Energiewende“ 2014-2020 - Gleichstellung von Männern und Frauen, Nichtdiskriminierung und nachhaltige Entwicklung - zu erreichen</w:t>
      </w:r>
      <w:r w:rsidR="00F421B0" w:rsidRPr="00E77DE2">
        <w:rPr>
          <w:szCs w:val="24"/>
        </w:rPr>
        <w:t xml:space="preserve"> (siehe </w:t>
      </w:r>
      <w:r w:rsidR="00F421B0" w:rsidRPr="00E77DE2">
        <w:rPr>
          <w:rFonts w:eastAsia="Calibri"/>
          <w:szCs w:val="24"/>
        </w:rPr>
        <w:t xml:space="preserve">Formular zur Erhebung </w:t>
      </w:r>
      <w:r w:rsidR="00375D51" w:rsidRPr="00E77DE2">
        <w:rPr>
          <w:rFonts w:eastAsia="Calibri"/>
          <w:szCs w:val="24"/>
        </w:rPr>
        <w:t>der</w:t>
      </w:r>
      <w:r w:rsidR="00F421B0" w:rsidRPr="00E77DE2">
        <w:rPr>
          <w:rFonts w:eastAsia="Calibri"/>
          <w:szCs w:val="24"/>
        </w:rPr>
        <w:t xml:space="preserve"> geplanten Zielbeiträgen)</w:t>
      </w:r>
      <w:r w:rsidRPr="00E77DE2">
        <w:rPr>
          <w:szCs w:val="24"/>
        </w:rPr>
        <w:t>.</w:t>
      </w:r>
    </w:p>
    <w:p w:rsidR="00D22B62" w:rsidRPr="00E77DE2" w:rsidRDefault="00D22B62" w:rsidP="00E77DE2">
      <w:pPr>
        <w:pStyle w:val="Listenabsatz"/>
        <w:spacing w:after="0" w:line="360" w:lineRule="atLeast"/>
        <w:ind w:left="1440"/>
        <w:contextualSpacing w:val="0"/>
        <w:jc w:val="both"/>
        <w:rPr>
          <w:szCs w:val="24"/>
        </w:rPr>
      </w:pPr>
    </w:p>
    <w:p w:rsidR="00D22B62" w:rsidRDefault="00D22B62" w:rsidP="00036404">
      <w:pPr>
        <w:pStyle w:val="Listenabsatz"/>
        <w:numPr>
          <w:ilvl w:val="0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t>Die formalen Vorgaben der DFG für Anträge im Programm Forschungsgroßg</w:t>
      </w:r>
      <w:r w:rsidRPr="00E77DE2">
        <w:rPr>
          <w:szCs w:val="24"/>
        </w:rPr>
        <w:t>e</w:t>
      </w:r>
      <w:r w:rsidRPr="00E77DE2">
        <w:rPr>
          <w:szCs w:val="24"/>
        </w:rPr>
        <w:t>räte nach Art. 91b GG müssen erfüllt sein.</w:t>
      </w:r>
    </w:p>
    <w:p w:rsidR="006F5708" w:rsidRPr="00E77DE2" w:rsidRDefault="006F5708" w:rsidP="006F5708">
      <w:pPr>
        <w:pStyle w:val="Listenabsatz"/>
        <w:spacing w:after="0" w:line="360" w:lineRule="atLeast"/>
        <w:contextualSpacing w:val="0"/>
        <w:jc w:val="both"/>
        <w:rPr>
          <w:szCs w:val="24"/>
        </w:rPr>
      </w:pPr>
    </w:p>
    <w:p w:rsidR="00AC3448" w:rsidRDefault="00D22B62" w:rsidP="00036404">
      <w:pPr>
        <w:pStyle w:val="Listenabsatz"/>
        <w:numPr>
          <w:ilvl w:val="0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t xml:space="preserve">Das Großgerät dient </w:t>
      </w:r>
      <w:r w:rsidR="00277BCE" w:rsidRPr="00E77DE2">
        <w:rPr>
          <w:szCs w:val="24"/>
        </w:rPr>
        <w:t xml:space="preserve">überwiegend </w:t>
      </w:r>
      <w:r w:rsidRPr="00E77DE2">
        <w:rPr>
          <w:szCs w:val="24"/>
        </w:rPr>
        <w:t>der Forschung im nicht-wirtschaftlichen B</w:t>
      </w:r>
      <w:r w:rsidRPr="00E77DE2">
        <w:rPr>
          <w:szCs w:val="24"/>
        </w:rPr>
        <w:t>e</w:t>
      </w:r>
      <w:r w:rsidRPr="00E77DE2">
        <w:rPr>
          <w:szCs w:val="24"/>
        </w:rPr>
        <w:t>reich.</w:t>
      </w:r>
      <w:r w:rsidR="00AC3448" w:rsidRPr="00E77DE2">
        <w:rPr>
          <w:szCs w:val="24"/>
        </w:rPr>
        <w:t xml:space="preserve"> Forschungs</w:t>
      </w:r>
      <w:r w:rsidR="00951C19" w:rsidRPr="00E77DE2">
        <w:rPr>
          <w:szCs w:val="24"/>
        </w:rPr>
        <w:t>großgeräte</w:t>
      </w:r>
      <w:r w:rsidR="00AC3448" w:rsidRPr="00E77DE2">
        <w:rPr>
          <w:szCs w:val="24"/>
        </w:rPr>
        <w:t xml:space="preserve"> können nur gefördert werden, wenn </w:t>
      </w:r>
      <w:r w:rsidR="003C00AE" w:rsidRPr="00E77DE2">
        <w:rPr>
          <w:szCs w:val="24"/>
        </w:rPr>
        <w:t>die Förd</w:t>
      </w:r>
      <w:r w:rsidR="003C00AE" w:rsidRPr="00E77DE2">
        <w:rPr>
          <w:szCs w:val="24"/>
        </w:rPr>
        <w:t>e</w:t>
      </w:r>
      <w:r w:rsidR="003C00AE" w:rsidRPr="00E77DE2">
        <w:rPr>
          <w:szCs w:val="24"/>
        </w:rPr>
        <w:t xml:space="preserve">rung im </w:t>
      </w:r>
      <w:r w:rsidR="00AC3448" w:rsidRPr="00E77DE2">
        <w:rPr>
          <w:szCs w:val="24"/>
        </w:rPr>
        <w:t>Sinne des Unionsrahmens für staatliche Beihilfen zur Förderung von Forschung, Entwicklung und Innovation (veröffentlicht im Amtsblatt der Europ</w:t>
      </w:r>
      <w:r w:rsidR="00AC3448" w:rsidRPr="00E77DE2">
        <w:rPr>
          <w:szCs w:val="24"/>
        </w:rPr>
        <w:t>ä</w:t>
      </w:r>
      <w:r w:rsidR="00AC3448" w:rsidRPr="00E77DE2">
        <w:rPr>
          <w:szCs w:val="24"/>
        </w:rPr>
        <w:t xml:space="preserve">ischen Union Nr. C 198 vom 27. Juni 2014) </w:t>
      </w:r>
      <w:r w:rsidR="00CE1A4C" w:rsidRPr="00E77DE2">
        <w:rPr>
          <w:szCs w:val="24"/>
        </w:rPr>
        <w:t>als beihilfefrei</w:t>
      </w:r>
      <w:r w:rsidR="00AC3448" w:rsidRPr="00E77DE2">
        <w:rPr>
          <w:szCs w:val="24"/>
        </w:rPr>
        <w:t xml:space="preserve">  zu betrachten </w:t>
      </w:r>
      <w:r w:rsidR="003C00AE" w:rsidRPr="00E77DE2">
        <w:rPr>
          <w:szCs w:val="24"/>
        </w:rPr>
        <w:t>ist</w:t>
      </w:r>
      <w:r w:rsidR="00AC3448" w:rsidRPr="00E77DE2">
        <w:rPr>
          <w:szCs w:val="24"/>
        </w:rPr>
        <w:t>.</w:t>
      </w:r>
    </w:p>
    <w:p w:rsidR="006F5708" w:rsidRPr="00E77DE2" w:rsidRDefault="006F5708" w:rsidP="006F5708">
      <w:pPr>
        <w:pStyle w:val="Listenabsatz"/>
        <w:spacing w:after="0" w:line="360" w:lineRule="atLeast"/>
        <w:contextualSpacing w:val="0"/>
        <w:jc w:val="both"/>
        <w:rPr>
          <w:szCs w:val="24"/>
        </w:rPr>
      </w:pPr>
    </w:p>
    <w:p w:rsidR="00D22B62" w:rsidRDefault="00D22B62" w:rsidP="00036404">
      <w:pPr>
        <w:pStyle w:val="Listenabsatz"/>
        <w:numPr>
          <w:ilvl w:val="0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t xml:space="preserve">Die Forschung ist von überregionaler Bedeutung. Überregional bedeutsame Forschung zeichnet sich in der Regel durch ein innovatives, interdisziplinäres Forschungskonzept aus. </w:t>
      </w:r>
      <w:r w:rsidR="00F5161A" w:rsidRPr="00E77DE2">
        <w:rPr>
          <w:szCs w:val="24"/>
        </w:rPr>
        <w:t>Gefördert werden Vorhaben der Spitzenforschung an vorderster Front der Wissenschaft. Forschungsschwerpunkte mit überregion</w:t>
      </w:r>
      <w:r w:rsidR="00F5161A" w:rsidRPr="00E77DE2">
        <w:rPr>
          <w:szCs w:val="24"/>
        </w:rPr>
        <w:t>a</w:t>
      </w:r>
      <w:r w:rsidR="00F5161A" w:rsidRPr="00E77DE2">
        <w:rPr>
          <w:szCs w:val="24"/>
        </w:rPr>
        <w:t xml:space="preserve">ler Bedeutung, die beispielweise an europäischen Großprojekten im Rahmen </w:t>
      </w:r>
      <w:r w:rsidR="00F5161A" w:rsidRPr="00E77DE2">
        <w:rPr>
          <w:szCs w:val="24"/>
        </w:rPr>
        <w:lastRenderedPageBreak/>
        <w:t>von Horizont 2020 beteiligt, Teil von auf der ESFRI Roadmap verankerten e</w:t>
      </w:r>
      <w:r w:rsidR="00F5161A" w:rsidRPr="00E77DE2">
        <w:rPr>
          <w:szCs w:val="24"/>
        </w:rPr>
        <w:t>u</w:t>
      </w:r>
      <w:r w:rsidR="00F5161A" w:rsidRPr="00E77DE2">
        <w:rPr>
          <w:szCs w:val="24"/>
        </w:rPr>
        <w:t>ropäischen Forschungsinfrastrukturen sind oder im Rahmen der Exzellenziniti</w:t>
      </w:r>
      <w:r w:rsidR="00F5161A" w:rsidRPr="00E77DE2">
        <w:rPr>
          <w:szCs w:val="24"/>
        </w:rPr>
        <w:t>a</w:t>
      </w:r>
      <w:r w:rsidR="00F5161A" w:rsidRPr="00E77DE2">
        <w:rPr>
          <w:szCs w:val="24"/>
        </w:rPr>
        <w:t>tive gefördert werden, sollen ergänzt und gestärkt werden.</w:t>
      </w:r>
    </w:p>
    <w:p w:rsidR="006F5708" w:rsidRPr="00E77DE2" w:rsidRDefault="006F5708" w:rsidP="006F5708">
      <w:pPr>
        <w:pStyle w:val="Listenabsatz"/>
        <w:spacing w:after="0" w:line="360" w:lineRule="atLeast"/>
        <w:contextualSpacing w:val="0"/>
        <w:jc w:val="both"/>
        <w:rPr>
          <w:szCs w:val="24"/>
        </w:rPr>
      </w:pPr>
    </w:p>
    <w:p w:rsidR="00D22B62" w:rsidRDefault="00D22B62" w:rsidP="00036404">
      <w:pPr>
        <w:pStyle w:val="Listenabsatz"/>
        <w:numPr>
          <w:ilvl w:val="0"/>
          <w:numId w:val="7"/>
        </w:numPr>
        <w:spacing w:after="0" w:line="360" w:lineRule="atLeast"/>
        <w:contextualSpacing w:val="0"/>
        <w:jc w:val="both"/>
        <w:rPr>
          <w:szCs w:val="24"/>
        </w:rPr>
      </w:pPr>
      <w:r w:rsidRPr="00E77DE2">
        <w:rPr>
          <w:szCs w:val="24"/>
        </w:rPr>
        <w:t>Das Vorhaben dient der Profilbildung der Universität.</w:t>
      </w:r>
    </w:p>
    <w:p w:rsidR="006F5708" w:rsidRPr="00E77DE2" w:rsidRDefault="006F5708" w:rsidP="006F5708">
      <w:pPr>
        <w:pStyle w:val="Listenabsatz"/>
        <w:spacing w:after="0" w:line="360" w:lineRule="atLeast"/>
        <w:contextualSpacing w:val="0"/>
        <w:jc w:val="both"/>
        <w:rPr>
          <w:szCs w:val="24"/>
        </w:rPr>
      </w:pPr>
    </w:p>
    <w:p w:rsidR="00C44AD0" w:rsidRPr="00E77DE2" w:rsidRDefault="003352FA" w:rsidP="00A71252">
      <w:pPr>
        <w:pStyle w:val="Listenabsatz"/>
        <w:numPr>
          <w:ilvl w:val="0"/>
          <w:numId w:val="7"/>
        </w:numPr>
        <w:spacing w:after="0" w:line="360" w:lineRule="atLeast"/>
        <w:ind w:left="714" w:hanging="357"/>
        <w:contextualSpacing w:val="0"/>
        <w:jc w:val="both"/>
        <w:rPr>
          <w:szCs w:val="24"/>
        </w:rPr>
      </w:pPr>
      <w:r w:rsidRPr="00E77DE2" w:rsidDel="00706219">
        <w:rPr>
          <w:rFonts w:eastAsia="Calibri"/>
          <w:szCs w:val="24"/>
        </w:rPr>
        <w:t xml:space="preserve">Um Synergien </w:t>
      </w:r>
      <w:r w:rsidR="00A71252" w:rsidRPr="00E77DE2" w:rsidDel="00706219">
        <w:rPr>
          <w:rFonts w:eastAsia="Calibri"/>
          <w:szCs w:val="24"/>
        </w:rPr>
        <w:t>zu befördern</w:t>
      </w:r>
      <w:r w:rsidRPr="00E77DE2" w:rsidDel="00706219">
        <w:rPr>
          <w:rFonts w:eastAsia="Calibri"/>
          <w:szCs w:val="24"/>
        </w:rPr>
        <w:t>, soll d</w:t>
      </w:r>
      <w:r w:rsidR="00AC3448" w:rsidRPr="00E77DE2" w:rsidDel="00706219">
        <w:rPr>
          <w:rFonts w:eastAsia="Calibri"/>
          <w:szCs w:val="24"/>
        </w:rPr>
        <w:t>ie Einrichtung von Core Facilities und</w:t>
      </w:r>
      <w:r w:rsidRPr="00E77DE2" w:rsidDel="00706219">
        <w:rPr>
          <w:rFonts w:eastAsia="Calibri"/>
          <w:szCs w:val="24"/>
        </w:rPr>
        <w:t xml:space="preserve"> / oder</w:t>
      </w:r>
      <w:r w:rsidR="00AC3448" w:rsidRPr="00E77DE2" w:rsidDel="00706219">
        <w:rPr>
          <w:rFonts w:eastAsia="Calibri"/>
          <w:szCs w:val="24"/>
        </w:rPr>
        <w:t xml:space="preserve"> die hochschulübergreifende Zusammenarbeit bei der Anschaffung und Nutzung </w:t>
      </w:r>
      <w:r w:rsidR="00375D51" w:rsidRPr="00E77DE2" w:rsidDel="00706219">
        <w:rPr>
          <w:rFonts w:eastAsia="Calibri"/>
          <w:szCs w:val="24"/>
        </w:rPr>
        <w:t>von</w:t>
      </w:r>
      <w:r w:rsidR="00AC3448" w:rsidRPr="00E77DE2" w:rsidDel="00706219">
        <w:rPr>
          <w:rFonts w:eastAsia="Calibri"/>
          <w:szCs w:val="24"/>
        </w:rPr>
        <w:t xml:space="preserve"> Forschungsgroßgeräte</w:t>
      </w:r>
      <w:r w:rsidR="00375D51" w:rsidRPr="00E77DE2" w:rsidDel="00706219">
        <w:rPr>
          <w:rFonts w:eastAsia="Calibri"/>
          <w:szCs w:val="24"/>
        </w:rPr>
        <w:t>n</w:t>
      </w:r>
      <w:r w:rsidR="00A71252" w:rsidRPr="00E77DE2" w:rsidDel="00706219">
        <w:rPr>
          <w:rFonts w:eastAsia="Calibri"/>
          <w:szCs w:val="24"/>
        </w:rPr>
        <w:t xml:space="preserve"> unterstützt</w:t>
      </w:r>
      <w:r w:rsidR="00AC3448" w:rsidRPr="00E77DE2" w:rsidDel="00706219">
        <w:rPr>
          <w:rFonts w:eastAsia="Calibri"/>
          <w:szCs w:val="24"/>
        </w:rPr>
        <w:t xml:space="preserve"> werden. Dementsprechend werden b</w:t>
      </w:r>
      <w:r w:rsidR="00AC3448" w:rsidRPr="00E77DE2" w:rsidDel="00706219">
        <w:rPr>
          <w:rFonts w:eastAsia="Calibri"/>
          <w:szCs w:val="24"/>
        </w:rPr>
        <w:t>e</w:t>
      </w:r>
      <w:r w:rsidR="00AC3448" w:rsidRPr="00E77DE2" w:rsidDel="00706219">
        <w:rPr>
          <w:rFonts w:eastAsia="Calibri"/>
          <w:szCs w:val="24"/>
        </w:rPr>
        <w:t>vorzugt solche Anträge gefördert, die einen zwischen verschiedenen Einric</w:t>
      </w:r>
      <w:r w:rsidR="00AC3448" w:rsidRPr="00E77DE2" w:rsidDel="00706219">
        <w:rPr>
          <w:rFonts w:eastAsia="Calibri"/>
          <w:szCs w:val="24"/>
        </w:rPr>
        <w:t>h</w:t>
      </w:r>
      <w:r w:rsidR="00AC3448" w:rsidRPr="00E77DE2" w:rsidDel="00706219">
        <w:rPr>
          <w:rFonts w:eastAsia="Calibri"/>
          <w:szCs w:val="24"/>
        </w:rPr>
        <w:t xml:space="preserve">tungen einer </w:t>
      </w:r>
      <w:r w:rsidR="006F5708">
        <w:rPr>
          <w:rFonts w:eastAsia="Calibri"/>
          <w:szCs w:val="24"/>
        </w:rPr>
        <w:t>Universität</w:t>
      </w:r>
      <w:r w:rsidR="00AC3448" w:rsidRPr="00E77DE2" w:rsidDel="00706219">
        <w:rPr>
          <w:rFonts w:eastAsia="Calibri"/>
          <w:szCs w:val="24"/>
        </w:rPr>
        <w:t xml:space="preserve"> und</w:t>
      </w:r>
      <w:r w:rsidRPr="00E77DE2" w:rsidDel="00706219">
        <w:rPr>
          <w:rFonts w:eastAsia="Calibri"/>
          <w:szCs w:val="24"/>
        </w:rPr>
        <w:t xml:space="preserve"> </w:t>
      </w:r>
      <w:r w:rsidR="00AC3448" w:rsidRPr="00E77DE2" w:rsidDel="00706219">
        <w:rPr>
          <w:rFonts w:eastAsia="Calibri"/>
          <w:szCs w:val="24"/>
        </w:rPr>
        <w:t>/</w:t>
      </w:r>
      <w:r w:rsidRPr="00E77DE2" w:rsidDel="00706219">
        <w:rPr>
          <w:rFonts w:eastAsia="Calibri"/>
          <w:szCs w:val="24"/>
        </w:rPr>
        <w:t xml:space="preserve"> </w:t>
      </w:r>
      <w:r w:rsidR="00AC3448" w:rsidRPr="00E77DE2" w:rsidDel="00706219">
        <w:rPr>
          <w:rFonts w:eastAsia="Calibri"/>
          <w:szCs w:val="24"/>
        </w:rPr>
        <w:t xml:space="preserve">oder zwischen mehreren </w:t>
      </w:r>
      <w:r w:rsidR="006F5708">
        <w:rPr>
          <w:rFonts w:eastAsia="Calibri"/>
          <w:szCs w:val="24"/>
        </w:rPr>
        <w:t>Universitäten</w:t>
      </w:r>
      <w:r w:rsidR="00AC3448" w:rsidRPr="00E77DE2" w:rsidDel="00706219">
        <w:rPr>
          <w:rFonts w:eastAsia="Calibri"/>
          <w:szCs w:val="24"/>
        </w:rPr>
        <w:t xml:space="preserve"> abg</w:t>
      </w:r>
      <w:r w:rsidR="00AC3448" w:rsidRPr="00E77DE2" w:rsidDel="00706219">
        <w:rPr>
          <w:rFonts w:eastAsia="Calibri"/>
          <w:szCs w:val="24"/>
        </w:rPr>
        <w:t>e</w:t>
      </w:r>
      <w:r w:rsidR="00AC3448" w:rsidRPr="00E77DE2" w:rsidDel="00706219">
        <w:rPr>
          <w:rFonts w:eastAsia="Calibri"/>
          <w:szCs w:val="24"/>
        </w:rPr>
        <w:t>stimmten Bedarf adressieren</w:t>
      </w:r>
      <w:r w:rsidR="00AC3448" w:rsidRPr="00E77DE2">
        <w:rPr>
          <w:rFonts w:eastAsia="Calibri"/>
          <w:szCs w:val="24"/>
        </w:rPr>
        <w:t>.</w:t>
      </w:r>
    </w:p>
    <w:p w:rsidR="00AC3448" w:rsidRPr="00E77DE2" w:rsidRDefault="00AC3448" w:rsidP="0055147D">
      <w:pPr>
        <w:spacing w:after="0" w:line="360" w:lineRule="atLeast"/>
        <w:jc w:val="both"/>
        <w:rPr>
          <w:rFonts w:eastAsia="Calibri"/>
          <w:szCs w:val="24"/>
        </w:rPr>
      </w:pPr>
    </w:p>
    <w:p w:rsidR="00EC07C7" w:rsidRPr="00E77DE2" w:rsidRDefault="00A71252" w:rsidP="0055147D">
      <w:pPr>
        <w:autoSpaceDE w:val="0"/>
        <w:autoSpaceDN w:val="0"/>
        <w:adjustRightInd w:val="0"/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>Das Wissenschaftsministerium geht grundsätzlich davon aus, dass die mit Hilfe der geförderten Großgeräte gewonnenen Forschungsergebnisse publiziert, möglichst dig</w:t>
      </w:r>
      <w:r w:rsidRPr="00E77DE2">
        <w:rPr>
          <w:rFonts w:eastAsia="Calibri"/>
          <w:szCs w:val="24"/>
        </w:rPr>
        <w:t>i</w:t>
      </w:r>
      <w:r w:rsidRPr="00E77DE2">
        <w:rPr>
          <w:rFonts w:eastAsia="Calibri"/>
          <w:szCs w:val="24"/>
        </w:rPr>
        <w:t>tal veröffentlicht und für den entgeltfreien Zugriff (Open Access) verfügbar gemacht werden.</w:t>
      </w:r>
      <w:r w:rsidR="00062C0E" w:rsidRPr="00E77DE2">
        <w:rPr>
          <w:rFonts w:eastAsia="Calibri"/>
          <w:szCs w:val="24"/>
        </w:rPr>
        <w:t xml:space="preserve"> </w:t>
      </w:r>
      <w:r w:rsidR="00062C0E" w:rsidRPr="00E77DE2">
        <w:rPr>
          <w:iCs/>
          <w:szCs w:val="24"/>
        </w:rPr>
        <w:t>Die entsprechenden Beiträge sollten dazu entweder zusätzlich zur Ve</w:t>
      </w:r>
      <w:r w:rsidR="00062C0E" w:rsidRPr="00E77DE2">
        <w:rPr>
          <w:iCs/>
          <w:szCs w:val="24"/>
        </w:rPr>
        <w:t>r</w:t>
      </w:r>
      <w:r w:rsidR="00062C0E" w:rsidRPr="00E77DE2">
        <w:rPr>
          <w:iCs/>
          <w:szCs w:val="24"/>
        </w:rPr>
        <w:t>lagspublikation in disziplinspezifische oder institutionelle elektronische Archive (Rep</w:t>
      </w:r>
      <w:r w:rsidR="00062C0E" w:rsidRPr="00E77DE2">
        <w:rPr>
          <w:iCs/>
          <w:szCs w:val="24"/>
        </w:rPr>
        <w:t>o</w:t>
      </w:r>
      <w:r w:rsidR="00062C0E" w:rsidRPr="00E77DE2">
        <w:rPr>
          <w:iCs/>
          <w:szCs w:val="24"/>
        </w:rPr>
        <w:t>sitorien) eingestellt („grüner Weg“) oder direkt in referierten bzw. renommierten Open Access Zeitschriften publiziert („goldener Weg“) werden.</w:t>
      </w:r>
    </w:p>
    <w:p w:rsidR="00EC07C7" w:rsidRPr="00E77DE2" w:rsidRDefault="00EC07C7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951C1A" w:rsidRPr="00E77DE2" w:rsidRDefault="00DE3DB8" w:rsidP="00036404">
      <w:pPr>
        <w:keepNext/>
        <w:spacing w:after="120" w:line="360" w:lineRule="atLeast"/>
        <w:ind w:left="431" w:hanging="431"/>
        <w:jc w:val="both"/>
        <w:outlineLvl w:val="0"/>
        <w:rPr>
          <w:rFonts w:eastAsia="Calibri"/>
          <w:b/>
          <w:szCs w:val="24"/>
        </w:rPr>
      </w:pPr>
      <w:r w:rsidRPr="00E77DE2">
        <w:rPr>
          <w:rFonts w:eastAsia="Times New Roman"/>
          <w:b/>
          <w:bCs/>
          <w:kern w:val="32"/>
          <w:szCs w:val="24"/>
          <w:lang w:eastAsia="x-none"/>
        </w:rPr>
        <w:t>5</w:t>
      </w:r>
      <w:r w:rsidR="00951C1A" w:rsidRPr="00E77DE2">
        <w:rPr>
          <w:rFonts w:eastAsia="Times New Roman"/>
          <w:b/>
          <w:bCs/>
          <w:kern w:val="32"/>
          <w:szCs w:val="24"/>
          <w:lang w:eastAsia="x-none"/>
        </w:rPr>
        <w:t xml:space="preserve">. </w:t>
      </w:r>
      <w:r w:rsidR="00AC3C47" w:rsidRPr="00E77DE2">
        <w:rPr>
          <w:rFonts w:eastAsia="Calibri"/>
          <w:b/>
          <w:szCs w:val="24"/>
        </w:rPr>
        <w:t>V</w:t>
      </w:r>
      <w:r w:rsidR="00951C1A" w:rsidRPr="00E77DE2">
        <w:rPr>
          <w:rFonts w:eastAsia="Calibri"/>
          <w:b/>
          <w:szCs w:val="24"/>
        </w:rPr>
        <w:t>erfahren</w:t>
      </w:r>
    </w:p>
    <w:p w:rsidR="00951C1A" w:rsidRPr="00E77DE2" w:rsidRDefault="00951C1A" w:rsidP="00036404">
      <w:p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>Folgende Unterlagen sind einzureichen:</w:t>
      </w:r>
    </w:p>
    <w:p w:rsidR="00951C1A" w:rsidRPr="00E77DE2" w:rsidRDefault="009E398D" w:rsidP="00036404">
      <w:pPr>
        <w:numPr>
          <w:ilvl w:val="0"/>
          <w:numId w:val="4"/>
        </w:num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 xml:space="preserve">unterzeichnetes </w:t>
      </w:r>
      <w:r w:rsidR="00AC3448" w:rsidRPr="00E77DE2">
        <w:rPr>
          <w:rFonts w:eastAsia="Calibri"/>
          <w:szCs w:val="24"/>
        </w:rPr>
        <w:t>Antragsformular „Forschungsgroßgeräte</w:t>
      </w:r>
      <w:r w:rsidR="001F0866" w:rsidRPr="00E77DE2">
        <w:rPr>
          <w:rFonts w:eastAsia="Calibri"/>
          <w:szCs w:val="24"/>
        </w:rPr>
        <w:t xml:space="preserve"> </w:t>
      </w:r>
      <w:r w:rsidR="006F5708">
        <w:rPr>
          <w:rFonts w:eastAsia="Calibri"/>
          <w:szCs w:val="24"/>
        </w:rPr>
        <w:t>an Universitäten</w:t>
      </w:r>
      <w:r w:rsidR="00AC3448" w:rsidRPr="00E77DE2">
        <w:rPr>
          <w:rFonts w:eastAsia="Calibri"/>
          <w:szCs w:val="24"/>
        </w:rPr>
        <w:t>“</w:t>
      </w:r>
    </w:p>
    <w:p w:rsidR="00AC3448" w:rsidRPr="00E77DE2" w:rsidRDefault="008C0F9D" w:rsidP="00036404">
      <w:pPr>
        <w:numPr>
          <w:ilvl w:val="0"/>
          <w:numId w:val="4"/>
        </w:num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>Formular zur Erhebung von geplanten Zielbeiträgen (</w:t>
      </w:r>
      <w:r w:rsidRPr="00E77DE2">
        <w:rPr>
          <w:szCs w:val="24"/>
        </w:rPr>
        <w:t xml:space="preserve">Beitrag </w:t>
      </w:r>
      <w:r w:rsidR="00E94565" w:rsidRPr="00E77DE2">
        <w:rPr>
          <w:szCs w:val="24"/>
        </w:rPr>
        <w:t>zur Innovation</w:t>
      </w:r>
      <w:r w:rsidR="00E94565" w:rsidRPr="00E77DE2">
        <w:rPr>
          <w:szCs w:val="24"/>
        </w:rPr>
        <w:t>s</w:t>
      </w:r>
      <w:r w:rsidR="00E94565" w:rsidRPr="00E77DE2">
        <w:rPr>
          <w:szCs w:val="24"/>
        </w:rPr>
        <w:t xml:space="preserve">strategie des Landes sowie </w:t>
      </w:r>
      <w:r w:rsidRPr="00E77DE2">
        <w:rPr>
          <w:szCs w:val="24"/>
        </w:rPr>
        <w:t>zum Spezifischen Ziel 1 und zu den Querschnitt</w:t>
      </w:r>
      <w:r w:rsidRPr="00E77DE2">
        <w:rPr>
          <w:szCs w:val="24"/>
        </w:rPr>
        <w:t>s</w:t>
      </w:r>
      <w:r w:rsidRPr="00E77DE2">
        <w:rPr>
          <w:szCs w:val="24"/>
        </w:rPr>
        <w:t>ziele</w:t>
      </w:r>
      <w:r w:rsidR="006F5708">
        <w:rPr>
          <w:szCs w:val="24"/>
        </w:rPr>
        <w:t>n</w:t>
      </w:r>
      <w:r w:rsidRPr="00E77DE2">
        <w:rPr>
          <w:szCs w:val="24"/>
        </w:rPr>
        <w:t xml:space="preserve"> des EFRE</w:t>
      </w:r>
      <w:r w:rsidR="003E568C" w:rsidRPr="00E77DE2">
        <w:rPr>
          <w:szCs w:val="24"/>
        </w:rPr>
        <w:t>-Programms Baden-Württembergs 2014-2020</w:t>
      </w:r>
      <w:r w:rsidRPr="00E77DE2">
        <w:rPr>
          <w:szCs w:val="24"/>
        </w:rPr>
        <w:t xml:space="preserve"> „Innovation und Energiewende“ 2014-2020)</w:t>
      </w:r>
    </w:p>
    <w:p w:rsidR="00951C1A" w:rsidRPr="00E77DE2" w:rsidRDefault="009E398D" w:rsidP="00036404">
      <w:pPr>
        <w:numPr>
          <w:ilvl w:val="0"/>
          <w:numId w:val="4"/>
        </w:num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>vollständige</w:t>
      </w:r>
      <w:r w:rsidR="0055147D" w:rsidRPr="00E77DE2">
        <w:rPr>
          <w:rFonts w:eastAsia="Calibri"/>
          <w:szCs w:val="24"/>
        </w:rPr>
        <w:t>, noch nicht unterzeichnete</w:t>
      </w:r>
      <w:r w:rsidRPr="00E77DE2">
        <w:rPr>
          <w:rFonts w:eastAsia="Calibri"/>
          <w:szCs w:val="24"/>
        </w:rPr>
        <w:t xml:space="preserve"> </w:t>
      </w:r>
      <w:r w:rsidR="00AC3448" w:rsidRPr="00E77DE2">
        <w:rPr>
          <w:rFonts w:eastAsia="Calibri"/>
          <w:szCs w:val="24"/>
        </w:rPr>
        <w:t>Unterlagen für die Antragsstellung bei der DFG im Programm Forschungsgroßgeräte nach Art. 91b GG</w:t>
      </w:r>
      <w:r w:rsidRPr="00E77DE2">
        <w:rPr>
          <w:rFonts w:eastAsia="Calibri"/>
          <w:szCs w:val="24"/>
        </w:rPr>
        <w:t xml:space="preserve"> als Anlage</w:t>
      </w:r>
    </w:p>
    <w:p w:rsidR="00951C1A" w:rsidRPr="00E77DE2" w:rsidRDefault="00951C1A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951C1A" w:rsidRPr="00E77DE2" w:rsidRDefault="00062C0E" w:rsidP="00036404">
      <w:pPr>
        <w:spacing w:after="0" w:line="360" w:lineRule="atLeast"/>
        <w:jc w:val="both"/>
        <w:rPr>
          <w:rFonts w:eastAsia="Calibri"/>
          <w:szCs w:val="24"/>
        </w:rPr>
      </w:pPr>
      <w:r w:rsidRPr="00495379">
        <w:rPr>
          <w:rFonts w:eastAsia="Calibri"/>
          <w:szCs w:val="24"/>
          <w:u w:val="single"/>
        </w:rPr>
        <w:t>D</w:t>
      </w:r>
      <w:r w:rsidR="00951C1A" w:rsidRPr="00495379">
        <w:rPr>
          <w:rFonts w:eastAsia="Calibri"/>
          <w:szCs w:val="24"/>
          <w:u w:val="single"/>
        </w:rPr>
        <w:t>ie Anträge</w:t>
      </w:r>
      <w:r w:rsidRPr="00495379">
        <w:rPr>
          <w:rFonts w:eastAsia="Calibri"/>
          <w:szCs w:val="24"/>
          <w:u w:val="single"/>
        </w:rPr>
        <w:t xml:space="preserve"> sind</w:t>
      </w:r>
      <w:r w:rsidR="00951C1A" w:rsidRPr="00495379">
        <w:rPr>
          <w:rFonts w:eastAsia="Calibri"/>
          <w:szCs w:val="24"/>
          <w:u w:val="single"/>
        </w:rPr>
        <w:t xml:space="preserve"> bis zum </w:t>
      </w:r>
      <w:r w:rsidR="006F5708">
        <w:rPr>
          <w:rFonts w:eastAsia="Calibri"/>
          <w:szCs w:val="24"/>
          <w:u w:val="single"/>
        </w:rPr>
        <w:t>18</w:t>
      </w:r>
      <w:r w:rsidR="00524DC3" w:rsidRPr="00495379">
        <w:rPr>
          <w:rFonts w:eastAsia="Calibri"/>
          <w:szCs w:val="24"/>
          <w:u w:val="single"/>
        </w:rPr>
        <w:t xml:space="preserve">. Juli 2016 </w:t>
      </w:r>
      <w:r w:rsidR="00C44AD0" w:rsidRPr="00495379">
        <w:rPr>
          <w:rFonts w:eastAsia="Calibri"/>
          <w:szCs w:val="24"/>
          <w:u w:val="single"/>
        </w:rPr>
        <w:t>einzureichen</w:t>
      </w:r>
      <w:r w:rsidR="00706219" w:rsidRPr="00E77DE2">
        <w:rPr>
          <w:rFonts w:eastAsia="Calibri"/>
          <w:szCs w:val="24"/>
        </w:rPr>
        <w:t>.</w:t>
      </w:r>
      <w:r w:rsidR="00951C1A" w:rsidRPr="00E77DE2">
        <w:rPr>
          <w:rFonts w:eastAsia="Calibri"/>
          <w:szCs w:val="24"/>
        </w:rPr>
        <w:t xml:space="preserve"> </w:t>
      </w:r>
    </w:p>
    <w:p w:rsidR="00951C1A" w:rsidRPr="00E77DE2" w:rsidRDefault="00951C1A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951C1A" w:rsidRPr="00E77DE2" w:rsidRDefault="00951C1A" w:rsidP="00036404">
      <w:p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 xml:space="preserve">Dabei wird um Einhaltung des folgenden Verfahrens gebeten: </w:t>
      </w:r>
    </w:p>
    <w:p w:rsidR="00951C1A" w:rsidRPr="00E77DE2" w:rsidRDefault="00951C1A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951C1A" w:rsidRPr="00E77DE2" w:rsidRDefault="00951C1A" w:rsidP="00036404">
      <w:pPr>
        <w:numPr>
          <w:ilvl w:val="0"/>
          <w:numId w:val="3"/>
        </w:num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lastRenderedPageBreak/>
        <w:t xml:space="preserve">Versand des unterschriebenen Antrags im physischen Original </w:t>
      </w:r>
      <w:r w:rsidR="00F5273E" w:rsidRPr="00E77DE2">
        <w:rPr>
          <w:rFonts w:eastAsia="Calibri"/>
          <w:szCs w:val="24"/>
        </w:rPr>
        <w:t>und in elektr</w:t>
      </w:r>
      <w:r w:rsidR="00F5273E" w:rsidRPr="00E77DE2">
        <w:rPr>
          <w:rFonts w:eastAsia="Calibri"/>
          <w:szCs w:val="24"/>
        </w:rPr>
        <w:t>o</w:t>
      </w:r>
      <w:r w:rsidR="00F5273E" w:rsidRPr="00E77DE2">
        <w:rPr>
          <w:rFonts w:eastAsia="Calibri"/>
          <w:szCs w:val="24"/>
        </w:rPr>
        <w:t>nischer Form</w:t>
      </w:r>
      <w:r w:rsidR="004D47EA" w:rsidRPr="00E77DE2">
        <w:rPr>
          <w:rFonts w:eastAsia="Calibri"/>
          <w:szCs w:val="24"/>
        </w:rPr>
        <w:t xml:space="preserve"> sowie des Formulars zur Erhebung von geplanten Zielbeiträgen nur in elektronischer Form</w:t>
      </w:r>
      <w:r w:rsidR="00F5273E" w:rsidRPr="00E77DE2">
        <w:rPr>
          <w:rFonts w:eastAsia="Calibri"/>
          <w:szCs w:val="24"/>
        </w:rPr>
        <w:t xml:space="preserve"> </w:t>
      </w:r>
      <w:r w:rsidRPr="00E77DE2">
        <w:rPr>
          <w:rFonts w:eastAsia="Calibri"/>
          <w:szCs w:val="24"/>
        </w:rPr>
        <w:t xml:space="preserve">an die </w:t>
      </w:r>
    </w:p>
    <w:p w:rsidR="00951C1A" w:rsidRPr="00E77DE2" w:rsidRDefault="00951C1A" w:rsidP="00036404">
      <w:pPr>
        <w:spacing w:after="0" w:line="360" w:lineRule="atLeast"/>
        <w:ind w:firstLine="708"/>
        <w:jc w:val="both"/>
        <w:rPr>
          <w:rFonts w:eastAsia="Calibri"/>
          <w:szCs w:val="24"/>
        </w:rPr>
      </w:pPr>
    </w:p>
    <w:p w:rsidR="00951C1A" w:rsidRPr="00E77DE2" w:rsidRDefault="00951C1A" w:rsidP="00036404">
      <w:pPr>
        <w:spacing w:after="0" w:line="360" w:lineRule="atLeast"/>
        <w:ind w:firstLine="708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 xml:space="preserve">L-Bank Baden-Württemberg </w:t>
      </w:r>
    </w:p>
    <w:p w:rsidR="00951C1A" w:rsidRPr="00E77DE2" w:rsidRDefault="00951C1A" w:rsidP="00036404">
      <w:pPr>
        <w:spacing w:after="0" w:line="360" w:lineRule="atLeast"/>
        <w:ind w:firstLine="708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 xml:space="preserve">Bereich Finanzhilfen </w:t>
      </w:r>
    </w:p>
    <w:p w:rsidR="00951C1A" w:rsidRPr="00E77DE2" w:rsidRDefault="00951C1A" w:rsidP="00036404">
      <w:pPr>
        <w:spacing w:after="0" w:line="360" w:lineRule="atLeast"/>
        <w:ind w:firstLine="708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 xml:space="preserve">z.Hd. Frau Birgit Zieger </w:t>
      </w:r>
    </w:p>
    <w:p w:rsidR="00951C1A" w:rsidRPr="00E77DE2" w:rsidRDefault="00951C1A" w:rsidP="00036404">
      <w:pPr>
        <w:spacing w:after="0" w:line="360" w:lineRule="atLeast"/>
        <w:ind w:firstLine="708"/>
        <w:jc w:val="both"/>
        <w:rPr>
          <w:rFonts w:eastAsia="Calibri"/>
          <w:szCs w:val="24"/>
        </w:rPr>
      </w:pPr>
      <w:proofErr w:type="spellStart"/>
      <w:r w:rsidRPr="00E77DE2">
        <w:rPr>
          <w:rFonts w:eastAsia="Calibri"/>
          <w:szCs w:val="24"/>
        </w:rPr>
        <w:t>Schloßplatz</w:t>
      </w:r>
      <w:proofErr w:type="spellEnd"/>
      <w:r w:rsidRPr="00E77DE2">
        <w:rPr>
          <w:rFonts w:eastAsia="Calibri"/>
          <w:szCs w:val="24"/>
        </w:rPr>
        <w:t xml:space="preserve"> 10 </w:t>
      </w:r>
    </w:p>
    <w:p w:rsidR="00951C1A" w:rsidRPr="00E77DE2" w:rsidRDefault="00951C1A" w:rsidP="00036404">
      <w:pPr>
        <w:spacing w:after="0" w:line="360" w:lineRule="atLeast"/>
        <w:ind w:firstLine="708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 xml:space="preserve">76131 Karlsruhe </w:t>
      </w:r>
    </w:p>
    <w:p w:rsidR="004D47EA" w:rsidRPr="00E77DE2" w:rsidRDefault="004D47EA" w:rsidP="00036404">
      <w:p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ab/>
      </w:r>
      <w:hyperlink r:id="rId10" w:history="1">
        <w:r w:rsidR="00AE28BB" w:rsidRPr="00E77DE2">
          <w:rPr>
            <w:rStyle w:val="Hyperlink"/>
            <w:rFonts w:eastAsia="Calibri"/>
            <w:szCs w:val="24"/>
          </w:rPr>
          <w:t>efre@l-bank.de</w:t>
        </w:r>
      </w:hyperlink>
    </w:p>
    <w:p w:rsidR="004D47EA" w:rsidRPr="00E77DE2" w:rsidRDefault="004D47EA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951C1A" w:rsidRPr="00E77DE2" w:rsidRDefault="00951C1A" w:rsidP="00036404">
      <w:pPr>
        <w:spacing w:after="0" w:line="360" w:lineRule="atLeast"/>
        <w:ind w:firstLine="708"/>
        <w:jc w:val="both"/>
        <w:rPr>
          <w:rFonts w:eastAsia="Calibri"/>
          <w:szCs w:val="24"/>
        </w:rPr>
      </w:pPr>
    </w:p>
    <w:p w:rsidR="00FF5E4F" w:rsidRPr="00E77DE2" w:rsidRDefault="00FF5E4F" w:rsidP="00036404">
      <w:p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>Gefördert werden kann der Erwerb von Forschungsgroßgeräten, die für eine Antra</w:t>
      </w:r>
      <w:r w:rsidRPr="00E77DE2">
        <w:rPr>
          <w:rFonts w:eastAsia="Calibri"/>
          <w:szCs w:val="24"/>
        </w:rPr>
        <w:t>g</w:t>
      </w:r>
      <w:r w:rsidRPr="00E77DE2">
        <w:rPr>
          <w:rFonts w:eastAsia="Calibri"/>
          <w:szCs w:val="24"/>
        </w:rPr>
        <w:t>stellung nach Art</w:t>
      </w:r>
      <w:r w:rsidR="00AE28BB" w:rsidRPr="00E77DE2">
        <w:rPr>
          <w:rFonts w:eastAsia="Calibri"/>
          <w:szCs w:val="24"/>
        </w:rPr>
        <w:t>.</w:t>
      </w:r>
      <w:r w:rsidRPr="00E77DE2">
        <w:rPr>
          <w:rFonts w:eastAsia="Calibri"/>
          <w:szCs w:val="24"/>
        </w:rPr>
        <w:t xml:space="preserve"> 91b GG bei der Deutschen Forschungsgemeinschaft DFG vorges</w:t>
      </w:r>
      <w:r w:rsidRPr="00E77DE2">
        <w:rPr>
          <w:rFonts w:eastAsia="Calibri"/>
          <w:szCs w:val="24"/>
        </w:rPr>
        <w:t>e</w:t>
      </w:r>
      <w:r w:rsidRPr="00E77DE2">
        <w:rPr>
          <w:rFonts w:eastAsia="Calibri"/>
          <w:szCs w:val="24"/>
        </w:rPr>
        <w:t xml:space="preserve">hen sind. Eine Antragstellung bei der DFG darf nicht erfolgen, bis eine </w:t>
      </w:r>
      <w:proofErr w:type="spellStart"/>
      <w:r w:rsidRPr="00E77DE2">
        <w:rPr>
          <w:rFonts w:eastAsia="Calibri"/>
          <w:szCs w:val="24"/>
        </w:rPr>
        <w:t>Inaussichtste</w:t>
      </w:r>
      <w:r w:rsidRPr="00E77DE2">
        <w:rPr>
          <w:rFonts w:eastAsia="Calibri"/>
          <w:szCs w:val="24"/>
        </w:rPr>
        <w:t>l</w:t>
      </w:r>
      <w:r w:rsidRPr="00E77DE2">
        <w:rPr>
          <w:rFonts w:eastAsia="Calibri"/>
          <w:szCs w:val="24"/>
        </w:rPr>
        <w:t>lung</w:t>
      </w:r>
      <w:proofErr w:type="spellEnd"/>
      <w:r w:rsidRPr="00E77DE2">
        <w:rPr>
          <w:rFonts w:eastAsia="Calibri"/>
          <w:szCs w:val="24"/>
        </w:rPr>
        <w:t xml:space="preserve"> einer Förderung aus dem EFRE der antragstellenden Universität zugegangen ist.  </w:t>
      </w:r>
    </w:p>
    <w:p w:rsidR="00FF5E4F" w:rsidRPr="00E77DE2" w:rsidRDefault="00FF5E4F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951C1A" w:rsidRPr="00E77DE2" w:rsidRDefault="00FF5E4F" w:rsidP="00036404">
      <w:pPr>
        <w:spacing w:after="0" w:line="360" w:lineRule="atLeast"/>
        <w:jc w:val="both"/>
        <w:rPr>
          <w:szCs w:val="24"/>
        </w:rPr>
      </w:pPr>
      <w:r w:rsidRPr="00E77DE2">
        <w:rPr>
          <w:rFonts w:eastAsia="Calibri"/>
          <w:szCs w:val="24"/>
        </w:rPr>
        <w:t xml:space="preserve">Das MWK plant, bis </w:t>
      </w:r>
      <w:r w:rsidR="006F5708">
        <w:rPr>
          <w:rFonts w:eastAsia="Calibri"/>
          <w:szCs w:val="24"/>
        </w:rPr>
        <w:t>Mitte August</w:t>
      </w:r>
      <w:r w:rsidR="00951C1A" w:rsidRPr="00E77DE2">
        <w:rPr>
          <w:rFonts w:eastAsia="Calibri"/>
          <w:szCs w:val="24"/>
        </w:rPr>
        <w:t xml:space="preserve"> 2016 </w:t>
      </w:r>
      <w:r w:rsidRPr="00E77DE2">
        <w:rPr>
          <w:rFonts w:eastAsia="Calibri"/>
          <w:szCs w:val="24"/>
        </w:rPr>
        <w:t>zu entscheiden, für welche Anträge eine Fö</w:t>
      </w:r>
      <w:r w:rsidRPr="00E77DE2">
        <w:rPr>
          <w:rFonts w:eastAsia="Calibri"/>
          <w:szCs w:val="24"/>
        </w:rPr>
        <w:t>r</w:t>
      </w:r>
      <w:r w:rsidRPr="00E77DE2">
        <w:rPr>
          <w:rFonts w:eastAsia="Calibri"/>
          <w:szCs w:val="24"/>
        </w:rPr>
        <w:t xml:space="preserve">derung aus dem EFRE-Programm des Landes in Aussicht gestellt wird. </w:t>
      </w:r>
      <w:r w:rsidR="004D6E6C" w:rsidRPr="00E77DE2">
        <w:rPr>
          <w:rFonts w:eastAsia="Calibri"/>
          <w:szCs w:val="24"/>
        </w:rPr>
        <w:t xml:space="preserve">Die </w:t>
      </w:r>
      <w:proofErr w:type="spellStart"/>
      <w:r w:rsidRPr="00E77DE2">
        <w:rPr>
          <w:rFonts w:eastAsia="Calibri"/>
          <w:szCs w:val="24"/>
        </w:rPr>
        <w:t>Inau</w:t>
      </w:r>
      <w:r w:rsidRPr="00E77DE2">
        <w:rPr>
          <w:rFonts w:eastAsia="Calibri"/>
          <w:szCs w:val="24"/>
        </w:rPr>
        <w:t>s</w:t>
      </w:r>
      <w:r w:rsidRPr="00E77DE2">
        <w:rPr>
          <w:rFonts w:eastAsia="Calibri"/>
          <w:szCs w:val="24"/>
        </w:rPr>
        <w:t>sichtstellung</w:t>
      </w:r>
      <w:proofErr w:type="spellEnd"/>
      <w:r w:rsidRPr="00E77DE2">
        <w:rPr>
          <w:rFonts w:eastAsia="Calibri"/>
          <w:szCs w:val="24"/>
        </w:rPr>
        <w:t xml:space="preserve"> einer Förderung aus dem EFRE </w:t>
      </w:r>
      <w:r w:rsidR="004D6E6C" w:rsidRPr="00E77DE2">
        <w:rPr>
          <w:rFonts w:eastAsia="Calibri"/>
          <w:szCs w:val="24"/>
        </w:rPr>
        <w:t xml:space="preserve">erfolgt </w:t>
      </w:r>
      <w:r w:rsidR="004D6E6C" w:rsidRPr="00E77DE2">
        <w:rPr>
          <w:szCs w:val="24"/>
        </w:rPr>
        <w:t xml:space="preserve">unter dem Vorbehalt, dass der Antrag die Bundesförderung nach </w:t>
      </w:r>
      <w:r w:rsidR="004D47EA" w:rsidRPr="00E77DE2">
        <w:rPr>
          <w:szCs w:val="24"/>
        </w:rPr>
        <w:t>Art</w:t>
      </w:r>
      <w:r w:rsidR="00AE28BB" w:rsidRPr="00E77DE2">
        <w:rPr>
          <w:szCs w:val="24"/>
        </w:rPr>
        <w:t>.</w:t>
      </w:r>
      <w:r w:rsidR="004D47EA" w:rsidRPr="00E77DE2">
        <w:rPr>
          <w:szCs w:val="24"/>
        </w:rPr>
        <w:t xml:space="preserve"> </w:t>
      </w:r>
      <w:r w:rsidR="004D6E6C" w:rsidRPr="00E77DE2">
        <w:rPr>
          <w:szCs w:val="24"/>
        </w:rPr>
        <w:t>91b GG einwerben kann.</w:t>
      </w:r>
      <w:r w:rsidRPr="00E77DE2">
        <w:rPr>
          <w:szCs w:val="24"/>
        </w:rPr>
        <w:t xml:space="preserve"> </w:t>
      </w:r>
    </w:p>
    <w:p w:rsidR="006F5708" w:rsidRDefault="006F5708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FF5E4F" w:rsidRPr="00E77DE2" w:rsidRDefault="00FF5E4F" w:rsidP="00036404">
      <w:pPr>
        <w:spacing w:after="0" w:line="360" w:lineRule="atLeast"/>
        <w:jc w:val="both"/>
        <w:rPr>
          <w:szCs w:val="24"/>
        </w:rPr>
      </w:pPr>
      <w:r w:rsidRPr="00E77DE2">
        <w:rPr>
          <w:rFonts w:eastAsia="Calibri"/>
          <w:szCs w:val="24"/>
        </w:rPr>
        <w:t xml:space="preserve">Bis spätestens </w:t>
      </w:r>
      <w:r w:rsidR="008E7857" w:rsidRPr="00E77DE2">
        <w:rPr>
          <w:rFonts w:eastAsia="Calibri"/>
          <w:szCs w:val="24"/>
        </w:rPr>
        <w:t xml:space="preserve">zum </w:t>
      </w:r>
      <w:r w:rsidR="006F5708">
        <w:rPr>
          <w:rFonts w:eastAsia="Calibri"/>
          <w:szCs w:val="24"/>
        </w:rPr>
        <w:t>16. September</w:t>
      </w:r>
      <w:r w:rsidRPr="00E77DE2">
        <w:rPr>
          <w:rFonts w:eastAsia="Calibri"/>
          <w:szCs w:val="24"/>
        </w:rPr>
        <w:t xml:space="preserve"> 2016 müssen die </w:t>
      </w:r>
      <w:r w:rsidR="006F5708">
        <w:rPr>
          <w:rFonts w:eastAsia="Calibri"/>
          <w:szCs w:val="24"/>
        </w:rPr>
        <w:t>Universitäte</w:t>
      </w:r>
      <w:r w:rsidRPr="00E77DE2">
        <w:rPr>
          <w:rFonts w:eastAsia="Calibri"/>
          <w:szCs w:val="24"/>
        </w:rPr>
        <w:t xml:space="preserve">n, die eine </w:t>
      </w:r>
      <w:proofErr w:type="spellStart"/>
      <w:r w:rsidRPr="00E77DE2">
        <w:rPr>
          <w:rFonts w:eastAsia="Calibri"/>
          <w:szCs w:val="24"/>
        </w:rPr>
        <w:t>Inau</w:t>
      </w:r>
      <w:r w:rsidRPr="00E77DE2">
        <w:rPr>
          <w:rFonts w:eastAsia="Calibri"/>
          <w:szCs w:val="24"/>
        </w:rPr>
        <w:t>s</w:t>
      </w:r>
      <w:r w:rsidRPr="00E77DE2">
        <w:rPr>
          <w:rFonts w:eastAsia="Calibri"/>
          <w:szCs w:val="24"/>
        </w:rPr>
        <w:t>sichtstellung</w:t>
      </w:r>
      <w:proofErr w:type="spellEnd"/>
      <w:r w:rsidRPr="00E77DE2">
        <w:rPr>
          <w:rFonts w:eastAsia="Calibri"/>
          <w:szCs w:val="24"/>
        </w:rPr>
        <w:t xml:space="preserve"> des MWK erhalten, einen </w:t>
      </w:r>
      <w:r w:rsidR="004D47EA" w:rsidRPr="00E77DE2">
        <w:rPr>
          <w:rFonts w:eastAsia="Calibri"/>
          <w:szCs w:val="24"/>
        </w:rPr>
        <w:t xml:space="preserve">gestellten </w:t>
      </w:r>
      <w:r w:rsidRPr="00E77DE2">
        <w:rPr>
          <w:rFonts w:eastAsia="Calibri"/>
          <w:szCs w:val="24"/>
        </w:rPr>
        <w:t>Antrag auf Förderung nach Art. 91b GG bei der DFG für das beantragte Vorhaben nachweisen.</w:t>
      </w:r>
    </w:p>
    <w:p w:rsidR="000B6487" w:rsidRPr="00E77DE2" w:rsidRDefault="000B6487" w:rsidP="00036404">
      <w:pPr>
        <w:spacing w:after="0" w:line="360" w:lineRule="atLeast"/>
        <w:jc w:val="both"/>
        <w:rPr>
          <w:szCs w:val="24"/>
        </w:rPr>
      </w:pPr>
    </w:p>
    <w:p w:rsidR="004D317A" w:rsidRDefault="004D317A" w:rsidP="004D317A">
      <w:pPr>
        <w:spacing w:after="0" w:line="360" w:lineRule="atLeast"/>
        <w:jc w:val="both"/>
        <w:rPr>
          <w:szCs w:val="24"/>
        </w:rPr>
      </w:pPr>
      <w:r>
        <w:rPr>
          <w:szCs w:val="24"/>
        </w:rPr>
        <w:t>Um eine Förderung aus dem EFRE zu erhalten, muss die positive Förderentsche</w:t>
      </w:r>
      <w:r>
        <w:rPr>
          <w:szCs w:val="24"/>
        </w:rPr>
        <w:t>i</w:t>
      </w:r>
      <w:r>
        <w:rPr>
          <w:szCs w:val="24"/>
        </w:rPr>
        <w:t>dung der DFG bis spätestens 3</w:t>
      </w:r>
      <w:r w:rsidR="002A354E">
        <w:rPr>
          <w:szCs w:val="24"/>
        </w:rPr>
        <w:t>0</w:t>
      </w:r>
      <w:r>
        <w:rPr>
          <w:szCs w:val="24"/>
        </w:rPr>
        <w:t xml:space="preserve">. Juni 2018 vorliegen. </w:t>
      </w:r>
      <w:r w:rsidRPr="004D317A">
        <w:rPr>
          <w:szCs w:val="24"/>
        </w:rPr>
        <w:t>Sollte der Antrag auf Förderung nach Art. 91b GG abgelehnt werden, sind die L-Bank und das Wissenschaftsminist</w:t>
      </w:r>
      <w:r w:rsidRPr="004D317A">
        <w:rPr>
          <w:szCs w:val="24"/>
        </w:rPr>
        <w:t>e</w:t>
      </w:r>
      <w:r w:rsidRPr="004D317A">
        <w:rPr>
          <w:szCs w:val="24"/>
        </w:rPr>
        <w:t>rium bis spätestens 3</w:t>
      </w:r>
      <w:r w:rsidR="002A354E">
        <w:rPr>
          <w:szCs w:val="24"/>
        </w:rPr>
        <w:t>0</w:t>
      </w:r>
      <w:r w:rsidRPr="004D317A">
        <w:rPr>
          <w:szCs w:val="24"/>
        </w:rPr>
        <w:t>. Juni 2017 davon in Kenntnis zu setzen.</w:t>
      </w:r>
    </w:p>
    <w:p w:rsidR="004D317A" w:rsidRDefault="004D317A" w:rsidP="004D317A">
      <w:pPr>
        <w:spacing w:after="0" w:line="360" w:lineRule="atLeast"/>
        <w:jc w:val="both"/>
        <w:rPr>
          <w:szCs w:val="24"/>
        </w:rPr>
      </w:pPr>
    </w:p>
    <w:p w:rsidR="00340732" w:rsidRDefault="00340732" w:rsidP="004F196B">
      <w:pPr>
        <w:spacing w:before="120" w:after="0" w:line="360" w:lineRule="atLeast"/>
        <w:jc w:val="both"/>
        <w:rPr>
          <w:szCs w:val="24"/>
        </w:rPr>
      </w:pPr>
      <w:r>
        <w:rPr>
          <w:szCs w:val="24"/>
        </w:rPr>
        <w:br w:type="page"/>
      </w:r>
    </w:p>
    <w:p w:rsidR="008E7857" w:rsidRPr="00E77DE2" w:rsidRDefault="008E7857" w:rsidP="00340732">
      <w:pPr>
        <w:spacing w:before="120" w:after="120" w:line="360" w:lineRule="atLeast"/>
        <w:jc w:val="both"/>
        <w:rPr>
          <w:i/>
          <w:szCs w:val="24"/>
        </w:rPr>
      </w:pPr>
      <w:r w:rsidRPr="00E77DE2">
        <w:rPr>
          <w:i/>
          <w:szCs w:val="24"/>
        </w:rPr>
        <w:lastRenderedPageBreak/>
        <w:t>Tabelle 1: Übersicht der Verfahrensschritte der ausgeschriebenen Förderung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69"/>
        <w:gridCol w:w="3432"/>
        <w:gridCol w:w="3016"/>
      </w:tblGrid>
      <w:tr w:rsidR="008E7857" w:rsidRPr="00E77DE2" w:rsidTr="006F570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77DE2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lfnd</w:t>
            </w:r>
            <w:proofErr w:type="spellEnd"/>
            <w:r w:rsidRPr="00E77DE2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. Num.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Datum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Verfahrensschritt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Erläuterungen</w:t>
            </w:r>
          </w:p>
        </w:tc>
      </w:tr>
      <w:tr w:rsidR="008E7857" w:rsidRPr="00E77DE2" w:rsidTr="006F570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6F5708" w:rsidP="00524DC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18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. Ju</w:t>
            </w:r>
            <w:r w:rsidR="00524DC3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l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i 2016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7" w:rsidRPr="00E77DE2" w:rsidRDefault="004D317A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Einreichung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sfrist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857" w:rsidRPr="00E77DE2" w:rsidRDefault="00824AC6" w:rsidP="006F5708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Univer</w:t>
            </w:r>
            <w:bookmarkStart w:id="0" w:name="_GoBack"/>
            <w:bookmarkEnd w:id="0"/>
            <w:r w:rsidR="004D317A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sitäten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reichen Anträge auf EFRE-Förderung mit en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sprechendem DFG-Antrag im A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hang bei der L-Bank ein. </w:t>
            </w:r>
          </w:p>
        </w:tc>
      </w:tr>
      <w:tr w:rsidR="008E7857" w:rsidRPr="00E77DE2" w:rsidTr="006F5708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6F5708" w:rsidP="006F57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Mitte August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2016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Inaussichtstellung</w:t>
            </w:r>
            <w:proofErr w:type="spellEnd"/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einer EFRE-Förderung per MWK-Schreiben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857" w:rsidRPr="00E77DE2" w:rsidRDefault="008E7857" w:rsidP="006F5708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Die EFRE-Förderung realisiert sich nur, wenn später eine Fö</w:t>
            </w: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</w:t>
            </w: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derung im 91</w:t>
            </w:r>
            <w:r w:rsidR="009E398D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b </w:t>
            </w: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-Verfahren bewi</w:t>
            </w: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l</w:t>
            </w: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ligt wird. </w:t>
            </w:r>
          </w:p>
        </w:tc>
      </w:tr>
      <w:tr w:rsidR="008E7857" w:rsidRPr="00E77DE2" w:rsidTr="006F5708">
        <w:trPr>
          <w:trHeight w:val="10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6F5708" w:rsidP="006F57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16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. </w:t>
            </w: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September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2016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7" w:rsidRPr="00E77DE2" w:rsidRDefault="004D317A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Universitäten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reichen DFG-Anträge</w:t>
            </w:r>
            <w:r w:rsidR="004D47EA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bei der DFG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ein.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DFG-Antrag muss dem Anhang des EFRE-Antrags entspr</w:t>
            </w: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</w:t>
            </w: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chen.</w:t>
            </w:r>
          </w:p>
        </w:tc>
      </w:tr>
      <w:tr w:rsidR="008E7857" w:rsidRPr="00E77DE2" w:rsidTr="006F570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ab Frühjahr 2017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7" w:rsidRPr="00E77DE2" w:rsidRDefault="008E7857" w:rsidP="004D317A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Entscheidung der DFG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E7857" w:rsidRPr="00E77DE2" w:rsidTr="006F5708">
        <w:trPr>
          <w:trHeight w:val="7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7" w:rsidRPr="00E77DE2" w:rsidRDefault="004D317A" w:rsidP="004D317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Universitäten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reichen positiven DFG-Bewilligungsbescheid bei L-Bank ein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E7857" w:rsidRPr="00E77DE2" w:rsidTr="006F5708">
        <w:trPr>
          <w:trHeight w:val="90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L-Bank verschickt die Bewilligung der EFRE-Förderung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857" w:rsidRPr="00E77DE2" w:rsidRDefault="008E7857" w:rsidP="004D317A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Ab Erhalt der EFRE-Bewilligung können Ausgaben getätigt we</w:t>
            </w: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</w:t>
            </w: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den</w:t>
            </w:r>
            <w:r w:rsidR="004D47EA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und Vertrage über Lief</w:t>
            </w:r>
            <w:r w:rsidR="004D47EA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</w:t>
            </w:r>
            <w:r w:rsidR="004D47EA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rungen und Leistungen g</w:t>
            </w:r>
            <w:r w:rsidR="004D47EA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</w:t>
            </w:r>
            <w:r w:rsidR="004D47EA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schlossen werden</w:t>
            </w: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. </w:t>
            </w:r>
          </w:p>
        </w:tc>
      </w:tr>
      <w:tr w:rsidR="008E7857" w:rsidRPr="00E77DE2" w:rsidTr="006F570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2A354E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bis </w:t>
            </w:r>
            <w:r w:rsidR="002A354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Ende </w:t>
            </w: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2018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7" w:rsidRPr="00E77DE2" w:rsidRDefault="004D317A" w:rsidP="004D317A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Universitäten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erwerben das Gerät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E7857" w:rsidRPr="00E77DE2" w:rsidTr="006F5708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7" w:rsidRPr="00E77DE2" w:rsidRDefault="004D317A" w:rsidP="004D317A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Universität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en stellen Auszahlungsa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trag bei der DFG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E7857" w:rsidRPr="00E77DE2" w:rsidTr="006F5708">
        <w:trPr>
          <w:trHeight w:val="10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7" w:rsidRPr="00E77DE2" w:rsidRDefault="004D317A" w:rsidP="008A07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Universitäte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 stellen Auszahlungsa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trag bei</w:t>
            </w:r>
            <w:r w:rsidR="008A070A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der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L-Bank und reichen e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i</w:t>
            </w:r>
            <w:r w:rsidR="008E7857"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nen Verwendungsnachweis ein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E7857" w:rsidRPr="00E77DE2" w:rsidTr="006F570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E77DE2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L-Bank zahlt EFRE-Förderung aus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857" w:rsidRPr="00E77DE2" w:rsidRDefault="008E7857" w:rsidP="00CC4D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4D317A" w:rsidRDefault="004D317A" w:rsidP="004D317A">
      <w:pPr>
        <w:spacing w:after="0" w:line="360" w:lineRule="atLeast"/>
        <w:jc w:val="both"/>
        <w:rPr>
          <w:szCs w:val="24"/>
        </w:rPr>
      </w:pPr>
    </w:p>
    <w:p w:rsidR="009E398D" w:rsidRPr="00E77DE2" w:rsidRDefault="004D317A" w:rsidP="004D317A">
      <w:pPr>
        <w:spacing w:after="0" w:line="360" w:lineRule="atLeast"/>
        <w:jc w:val="both"/>
        <w:rPr>
          <w:szCs w:val="24"/>
        </w:rPr>
      </w:pPr>
      <w:r w:rsidRPr="004D317A">
        <w:rPr>
          <w:szCs w:val="24"/>
        </w:rPr>
        <w:t>Nach einer positiven Förderentscheidung durch die DFG reichen die Universitäten die DFG-Bewilligung bei der L-Bank ein. Die Universitäten erhalten dann eine Bewilligung der EFRE-Förderung von der L-Bank. Erst wenn der Universität diese Bewilligung der L-Bank vorliegt, dürfen Lieferungs- oder Leistungsverträge abgeschlossen werden.</w:t>
      </w:r>
    </w:p>
    <w:p w:rsidR="004D317A" w:rsidRDefault="004D317A" w:rsidP="004D317A">
      <w:pPr>
        <w:spacing w:after="0" w:line="360" w:lineRule="atLeast"/>
        <w:jc w:val="both"/>
        <w:rPr>
          <w:szCs w:val="24"/>
        </w:rPr>
      </w:pPr>
    </w:p>
    <w:p w:rsidR="004F196B" w:rsidRPr="00E77DE2" w:rsidRDefault="008C3879" w:rsidP="004D317A">
      <w:pPr>
        <w:spacing w:after="0" w:line="360" w:lineRule="atLeast"/>
        <w:jc w:val="both"/>
        <w:rPr>
          <w:szCs w:val="24"/>
        </w:rPr>
      </w:pPr>
      <w:r w:rsidRPr="00E77DE2">
        <w:rPr>
          <w:szCs w:val="24"/>
        </w:rPr>
        <w:t>Das weitere Verfahren der EFRE-Förderung wird im Rahmen der Bewilligung erlä</w:t>
      </w:r>
      <w:r w:rsidRPr="00E77DE2">
        <w:rPr>
          <w:szCs w:val="24"/>
        </w:rPr>
        <w:t>u</w:t>
      </w:r>
      <w:r w:rsidRPr="00E77DE2">
        <w:rPr>
          <w:szCs w:val="24"/>
        </w:rPr>
        <w:t xml:space="preserve">tert. </w:t>
      </w:r>
      <w:r w:rsidR="000B6487" w:rsidRPr="00E77DE2">
        <w:rPr>
          <w:szCs w:val="24"/>
        </w:rPr>
        <w:t>Weitergehende Informationen und Formulare zu</w:t>
      </w:r>
      <w:r w:rsidRPr="00E77DE2">
        <w:rPr>
          <w:szCs w:val="24"/>
        </w:rPr>
        <w:t>m EFRE-Verfahren</w:t>
      </w:r>
      <w:r w:rsidR="000B6487" w:rsidRPr="00E77DE2">
        <w:rPr>
          <w:szCs w:val="24"/>
        </w:rPr>
        <w:t xml:space="preserve"> werden auf www.efre-bw.de veröffentlicht. </w:t>
      </w:r>
    </w:p>
    <w:p w:rsidR="008C3879" w:rsidRDefault="008C3879" w:rsidP="00036404">
      <w:pPr>
        <w:autoSpaceDE w:val="0"/>
        <w:autoSpaceDN w:val="0"/>
        <w:adjustRightInd w:val="0"/>
        <w:spacing w:after="120" w:line="360" w:lineRule="atLeast"/>
        <w:jc w:val="both"/>
        <w:rPr>
          <w:rFonts w:eastAsia="Calibri"/>
          <w:b/>
          <w:bCs/>
          <w:szCs w:val="24"/>
        </w:rPr>
      </w:pPr>
    </w:p>
    <w:p w:rsidR="004D317A" w:rsidRPr="00E77DE2" w:rsidRDefault="004D317A" w:rsidP="00036404">
      <w:pPr>
        <w:autoSpaceDE w:val="0"/>
        <w:autoSpaceDN w:val="0"/>
        <w:adjustRightInd w:val="0"/>
        <w:spacing w:after="120" w:line="360" w:lineRule="atLeast"/>
        <w:jc w:val="both"/>
        <w:rPr>
          <w:rFonts w:eastAsia="Calibri"/>
          <w:b/>
          <w:bCs/>
          <w:szCs w:val="24"/>
        </w:rPr>
      </w:pPr>
    </w:p>
    <w:p w:rsidR="0000298F" w:rsidRPr="00E77DE2" w:rsidRDefault="00DE3DB8" w:rsidP="00036404">
      <w:pPr>
        <w:autoSpaceDE w:val="0"/>
        <w:autoSpaceDN w:val="0"/>
        <w:adjustRightInd w:val="0"/>
        <w:spacing w:after="12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b/>
          <w:bCs/>
          <w:szCs w:val="24"/>
        </w:rPr>
        <w:lastRenderedPageBreak/>
        <w:t>6</w:t>
      </w:r>
      <w:r w:rsidR="008C0F9D" w:rsidRPr="00E77DE2">
        <w:rPr>
          <w:rFonts w:eastAsia="Calibri"/>
          <w:b/>
          <w:bCs/>
          <w:szCs w:val="24"/>
        </w:rPr>
        <w:t xml:space="preserve">. </w:t>
      </w:r>
      <w:r w:rsidR="0000298F" w:rsidRPr="00E77DE2">
        <w:rPr>
          <w:rFonts w:eastAsia="Calibri"/>
          <w:b/>
          <w:bCs/>
          <w:szCs w:val="24"/>
        </w:rPr>
        <w:t xml:space="preserve">Rückfragen, E-Mail, Internet </w:t>
      </w:r>
    </w:p>
    <w:p w:rsidR="0000298F" w:rsidRPr="00E77DE2" w:rsidRDefault="0000298F" w:rsidP="00036404">
      <w:pPr>
        <w:autoSpaceDE w:val="0"/>
        <w:autoSpaceDN w:val="0"/>
        <w:adjustRightInd w:val="0"/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>Für weitere Auskünfte im Zusammenhang mit der Antragstellung sowie der Au</w:t>
      </w:r>
      <w:r w:rsidRPr="00E77DE2">
        <w:rPr>
          <w:rFonts w:eastAsia="Calibri"/>
          <w:szCs w:val="24"/>
        </w:rPr>
        <w:t>s</w:t>
      </w:r>
      <w:r w:rsidRPr="00E77DE2">
        <w:rPr>
          <w:rFonts w:eastAsia="Calibri"/>
          <w:szCs w:val="24"/>
        </w:rPr>
        <w:t>schreibung im Allgemeinen steh</w:t>
      </w:r>
      <w:r w:rsidR="004F196B" w:rsidRPr="00E77DE2">
        <w:rPr>
          <w:rFonts w:eastAsia="Calibri"/>
          <w:szCs w:val="24"/>
        </w:rPr>
        <w:t>t</w:t>
      </w:r>
      <w:r w:rsidRPr="00E77DE2">
        <w:rPr>
          <w:rFonts w:eastAsia="Calibri"/>
          <w:szCs w:val="24"/>
        </w:rPr>
        <w:t xml:space="preserve"> Ihnen </w:t>
      </w:r>
      <w:r w:rsidR="00E531C9" w:rsidRPr="00E77DE2">
        <w:rPr>
          <w:rFonts w:eastAsia="Calibri"/>
          <w:szCs w:val="24"/>
        </w:rPr>
        <w:t>folgende Ansprechpartner zur Verfügung</w:t>
      </w:r>
    </w:p>
    <w:p w:rsidR="0000298F" w:rsidRPr="00E77DE2" w:rsidRDefault="0000298F" w:rsidP="00036404">
      <w:pPr>
        <w:autoSpaceDE w:val="0"/>
        <w:autoSpaceDN w:val="0"/>
        <w:adjustRightInd w:val="0"/>
        <w:spacing w:after="0" w:line="360" w:lineRule="atLeast"/>
        <w:jc w:val="both"/>
        <w:rPr>
          <w:rFonts w:eastAsia="Calibri"/>
          <w:szCs w:val="24"/>
        </w:rPr>
      </w:pPr>
    </w:p>
    <w:p w:rsidR="00E531C9" w:rsidRPr="00E77DE2" w:rsidRDefault="00E531C9" w:rsidP="00E531C9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7DE2">
        <w:rPr>
          <w:szCs w:val="24"/>
        </w:rPr>
        <w:t>Für die L-Bank:</w:t>
      </w:r>
    </w:p>
    <w:p w:rsidR="00E531C9" w:rsidRPr="00E77DE2" w:rsidRDefault="00E531C9" w:rsidP="00E531C9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531C9" w:rsidRPr="00E77DE2" w:rsidRDefault="00E531C9" w:rsidP="00E77DE2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E77DE2">
        <w:rPr>
          <w:szCs w:val="24"/>
        </w:rPr>
        <w:t>Frau Zieger</w:t>
      </w:r>
    </w:p>
    <w:p w:rsidR="00E531C9" w:rsidRPr="00E77DE2" w:rsidRDefault="00E531C9" w:rsidP="00E77DE2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E77DE2">
        <w:rPr>
          <w:szCs w:val="24"/>
        </w:rPr>
        <w:t>Tel.: 0721/150-1992</w:t>
      </w:r>
    </w:p>
    <w:p w:rsidR="004D317A" w:rsidRDefault="00E531C9" w:rsidP="004D317A">
      <w:pPr>
        <w:spacing w:after="0" w:line="360" w:lineRule="atLeast"/>
        <w:ind w:firstLine="708"/>
        <w:jc w:val="both"/>
        <w:rPr>
          <w:rFonts w:eastAsia="Times New Roman"/>
          <w:szCs w:val="24"/>
          <w:lang w:eastAsia="de-DE"/>
        </w:rPr>
      </w:pPr>
      <w:r w:rsidRPr="00E77DE2">
        <w:rPr>
          <w:szCs w:val="24"/>
        </w:rPr>
        <w:t xml:space="preserve">E-Mail: </w:t>
      </w:r>
      <w:hyperlink r:id="rId11" w:history="1">
        <w:r w:rsidR="004D317A" w:rsidRPr="007079F9">
          <w:rPr>
            <w:rStyle w:val="Hyperlink"/>
            <w:szCs w:val="24"/>
          </w:rPr>
          <w:t>efre@l-bank.de</w:t>
        </w:r>
      </w:hyperlink>
    </w:p>
    <w:p w:rsidR="00E531C9" w:rsidRPr="00524DC3" w:rsidRDefault="00E531C9" w:rsidP="00E77DE2">
      <w:pPr>
        <w:spacing w:after="0" w:line="360" w:lineRule="atLeast"/>
        <w:jc w:val="both"/>
        <w:rPr>
          <w:rFonts w:eastAsia="Times New Roman"/>
          <w:szCs w:val="24"/>
          <w:u w:val="single"/>
          <w:lang w:eastAsia="de-DE"/>
        </w:rPr>
      </w:pPr>
    </w:p>
    <w:p w:rsidR="00E531C9" w:rsidRPr="00524DC3" w:rsidRDefault="00CE1A4C" w:rsidP="00E77DE2">
      <w:pPr>
        <w:spacing w:after="0" w:line="360" w:lineRule="atLeast"/>
        <w:jc w:val="both"/>
        <w:rPr>
          <w:rFonts w:eastAsia="Times New Roman"/>
          <w:szCs w:val="24"/>
          <w:lang w:eastAsia="de-DE"/>
        </w:rPr>
      </w:pPr>
      <w:r w:rsidRPr="00524DC3">
        <w:rPr>
          <w:rFonts w:eastAsia="Times New Roman"/>
          <w:szCs w:val="24"/>
          <w:lang w:eastAsia="de-DE"/>
        </w:rPr>
        <w:t xml:space="preserve">Für das </w:t>
      </w:r>
      <w:r w:rsidR="00E531C9" w:rsidRPr="00524DC3">
        <w:rPr>
          <w:rFonts w:eastAsia="Times New Roman"/>
          <w:szCs w:val="24"/>
          <w:lang w:eastAsia="de-DE"/>
        </w:rPr>
        <w:t>Ministerium für Wissenschaft, Forschung und Kunst Baden-Württemberg:</w:t>
      </w:r>
    </w:p>
    <w:p w:rsidR="00E531C9" w:rsidRPr="00524DC3" w:rsidRDefault="00E531C9" w:rsidP="00036404">
      <w:pPr>
        <w:spacing w:after="0" w:line="360" w:lineRule="atLeast"/>
        <w:ind w:firstLine="431"/>
        <w:jc w:val="both"/>
        <w:rPr>
          <w:rFonts w:eastAsia="Times New Roman"/>
          <w:szCs w:val="24"/>
          <w:lang w:eastAsia="de-DE"/>
        </w:rPr>
      </w:pPr>
    </w:p>
    <w:p w:rsidR="004D317A" w:rsidRPr="00524DC3" w:rsidRDefault="004D317A" w:rsidP="004D317A">
      <w:pPr>
        <w:spacing w:after="0" w:line="360" w:lineRule="atLeast"/>
        <w:ind w:firstLine="708"/>
        <w:jc w:val="both"/>
        <w:rPr>
          <w:rFonts w:eastAsia="Times New Roman"/>
          <w:szCs w:val="24"/>
          <w:lang w:eastAsia="de-DE"/>
        </w:rPr>
      </w:pPr>
      <w:r w:rsidRPr="00524DC3">
        <w:rPr>
          <w:rFonts w:eastAsia="Times New Roman"/>
          <w:szCs w:val="24"/>
          <w:lang w:eastAsia="de-DE"/>
        </w:rPr>
        <w:t xml:space="preserve">Frau Dr. Caesar </w:t>
      </w:r>
    </w:p>
    <w:p w:rsidR="004D317A" w:rsidRPr="00524DC3" w:rsidRDefault="004D317A" w:rsidP="004D317A">
      <w:pPr>
        <w:spacing w:after="0" w:line="360" w:lineRule="atLeast"/>
        <w:ind w:firstLine="708"/>
        <w:jc w:val="both"/>
        <w:rPr>
          <w:rFonts w:eastAsia="Times New Roman"/>
          <w:szCs w:val="24"/>
          <w:lang w:eastAsia="de-DE"/>
        </w:rPr>
      </w:pPr>
      <w:r w:rsidRPr="00524DC3">
        <w:rPr>
          <w:rFonts w:eastAsia="Times New Roman"/>
          <w:szCs w:val="24"/>
          <w:lang w:eastAsia="de-DE"/>
        </w:rPr>
        <w:t>Tel.: 0711/279 3333</w:t>
      </w:r>
    </w:p>
    <w:p w:rsidR="004D317A" w:rsidRDefault="004D317A" w:rsidP="004D317A">
      <w:pPr>
        <w:spacing w:after="0" w:line="360" w:lineRule="atLeast"/>
        <w:ind w:firstLine="708"/>
        <w:jc w:val="both"/>
        <w:rPr>
          <w:rFonts w:eastAsia="Times New Roman"/>
          <w:szCs w:val="24"/>
          <w:lang w:eastAsia="de-DE"/>
        </w:rPr>
      </w:pPr>
      <w:r w:rsidRPr="00524DC3">
        <w:rPr>
          <w:rFonts w:eastAsia="Times New Roman"/>
          <w:szCs w:val="24"/>
          <w:lang w:eastAsia="de-DE"/>
        </w:rPr>
        <w:t xml:space="preserve">E-Mail: </w:t>
      </w:r>
      <w:hyperlink r:id="rId12" w:history="1">
        <w:r w:rsidRPr="007079F9">
          <w:rPr>
            <w:rStyle w:val="Hyperlink"/>
            <w:rFonts w:eastAsia="Times New Roman"/>
            <w:szCs w:val="24"/>
            <w:lang w:eastAsia="de-DE"/>
          </w:rPr>
          <w:t>Katharina.Caesar@mwk.bwl.de</w:t>
        </w:r>
      </w:hyperlink>
    </w:p>
    <w:p w:rsidR="004D317A" w:rsidRPr="00524DC3" w:rsidRDefault="004D317A" w:rsidP="004D317A">
      <w:pPr>
        <w:spacing w:after="0" w:line="360" w:lineRule="atLeast"/>
        <w:ind w:firstLine="708"/>
        <w:jc w:val="both"/>
        <w:rPr>
          <w:rFonts w:eastAsia="Times New Roman"/>
          <w:szCs w:val="24"/>
          <w:lang w:eastAsia="de-DE"/>
        </w:rPr>
      </w:pPr>
    </w:p>
    <w:p w:rsidR="00E531C9" w:rsidRPr="00524DC3" w:rsidRDefault="00E531C9" w:rsidP="00E77DE2">
      <w:pPr>
        <w:spacing w:after="0" w:line="360" w:lineRule="atLeast"/>
        <w:ind w:firstLine="708"/>
        <w:jc w:val="both"/>
        <w:rPr>
          <w:rFonts w:eastAsia="Times New Roman"/>
          <w:szCs w:val="24"/>
          <w:lang w:eastAsia="de-DE"/>
        </w:rPr>
      </w:pPr>
      <w:r w:rsidRPr="00524DC3">
        <w:rPr>
          <w:rFonts w:eastAsia="Times New Roman"/>
          <w:szCs w:val="24"/>
          <w:lang w:eastAsia="de-DE"/>
        </w:rPr>
        <w:t>Frau Dr. Braunwald</w:t>
      </w:r>
    </w:p>
    <w:p w:rsidR="00E531C9" w:rsidRPr="00524DC3" w:rsidRDefault="00E531C9" w:rsidP="00E77DE2">
      <w:pPr>
        <w:spacing w:after="0" w:line="360" w:lineRule="atLeast"/>
        <w:ind w:firstLine="708"/>
        <w:jc w:val="both"/>
        <w:rPr>
          <w:rFonts w:eastAsia="Times New Roman"/>
          <w:szCs w:val="24"/>
          <w:lang w:eastAsia="de-DE"/>
        </w:rPr>
      </w:pPr>
      <w:r w:rsidRPr="00524DC3">
        <w:rPr>
          <w:rFonts w:eastAsia="Times New Roman"/>
          <w:szCs w:val="24"/>
          <w:lang w:eastAsia="de-DE"/>
        </w:rPr>
        <w:t>Tel.: 0711/279 3327</w:t>
      </w:r>
    </w:p>
    <w:p w:rsidR="004D317A" w:rsidRDefault="00E531C9" w:rsidP="004D317A">
      <w:pPr>
        <w:spacing w:after="0" w:line="360" w:lineRule="atLeast"/>
        <w:ind w:firstLine="708"/>
        <w:jc w:val="both"/>
        <w:rPr>
          <w:rFonts w:eastAsia="Times New Roman"/>
          <w:szCs w:val="24"/>
          <w:lang w:eastAsia="de-DE"/>
        </w:rPr>
      </w:pPr>
      <w:r w:rsidRPr="00524DC3">
        <w:rPr>
          <w:rFonts w:eastAsia="Times New Roman"/>
          <w:szCs w:val="24"/>
          <w:lang w:eastAsia="de-DE"/>
        </w:rPr>
        <w:t xml:space="preserve">E-Mail: </w:t>
      </w:r>
      <w:hyperlink r:id="rId13" w:history="1">
        <w:r w:rsidR="004D317A" w:rsidRPr="007079F9">
          <w:rPr>
            <w:rStyle w:val="Hyperlink"/>
            <w:rFonts w:eastAsia="Times New Roman"/>
            <w:szCs w:val="24"/>
            <w:lang w:eastAsia="de-DE"/>
          </w:rPr>
          <w:t>Teresa.Braunwald@mwk.bwl.de</w:t>
        </w:r>
      </w:hyperlink>
    </w:p>
    <w:p w:rsidR="004F196B" w:rsidRPr="00E77DE2" w:rsidRDefault="004F196B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4F196B" w:rsidRPr="00E77DE2" w:rsidRDefault="004F196B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00298F" w:rsidRPr="00E77DE2" w:rsidRDefault="0000298F" w:rsidP="00036404">
      <w:p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>Die Ausschreibungsunterlagen können in elektronischer Form im Internet unter</w:t>
      </w:r>
    </w:p>
    <w:p w:rsidR="0000298F" w:rsidRPr="00E77DE2" w:rsidRDefault="0000298F" w:rsidP="00036404">
      <w:p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 xml:space="preserve"> </w:t>
      </w:r>
    </w:p>
    <w:p w:rsidR="0000298F" w:rsidRPr="00E77DE2" w:rsidRDefault="007B3CB5" w:rsidP="00036404">
      <w:pPr>
        <w:spacing w:after="0" w:line="360" w:lineRule="atLeast"/>
        <w:jc w:val="both"/>
        <w:rPr>
          <w:rFonts w:eastAsia="Calibri"/>
          <w:szCs w:val="24"/>
        </w:rPr>
      </w:pPr>
      <w:hyperlink r:id="rId14" w:history="1">
        <w:r w:rsidR="0000298F" w:rsidRPr="00E77DE2">
          <w:rPr>
            <w:rFonts w:eastAsia="Calibri"/>
            <w:color w:val="0000FF"/>
            <w:szCs w:val="24"/>
            <w:u w:val="single"/>
          </w:rPr>
          <w:t>http://www.efre-bw.de/foerderaufrufe</w:t>
        </w:r>
      </w:hyperlink>
      <w:r w:rsidR="0000298F" w:rsidRPr="00E77DE2">
        <w:rPr>
          <w:rFonts w:eastAsia="Calibri"/>
          <w:szCs w:val="24"/>
        </w:rPr>
        <w:t xml:space="preserve"> </w:t>
      </w:r>
    </w:p>
    <w:p w:rsidR="0000298F" w:rsidRPr="00E77DE2" w:rsidRDefault="0000298F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00298F" w:rsidRPr="00036404" w:rsidRDefault="0000298F" w:rsidP="00036404">
      <w:pPr>
        <w:spacing w:after="0" w:line="360" w:lineRule="atLeast"/>
        <w:jc w:val="both"/>
        <w:rPr>
          <w:rFonts w:eastAsia="Calibri"/>
          <w:szCs w:val="24"/>
        </w:rPr>
      </w:pPr>
      <w:r w:rsidRPr="00E77DE2">
        <w:rPr>
          <w:rFonts w:eastAsia="Calibri"/>
          <w:szCs w:val="24"/>
        </w:rPr>
        <w:t>abgerufen werden.</w:t>
      </w:r>
      <w:r w:rsidRPr="00036404">
        <w:rPr>
          <w:rFonts w:eastAsia="Calibri"/>
          <w:szCs w:val="24"/>
        </w:rPr>
        <w:t xml:space="preserve"> </w:t>
      </w:r>
    </w:p>
    <w:p w:rsidR="0000298F" w:rsidRPr="00036404" w:rsidRDefault="0000298F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00298F" w:rsidRPr="00036404" w:rsidRDefault="0000298F" w:rsidP="00036404">
      <w:pPr>
        <w:spacing w:after="0" w:line="360" w:lineRule="atLeast"/>
        <w:jc w:val="both"/>
        <w:rPr>
          <w:rFonts w:eastAsia="Calibri"/>
          <w:szCs w:val="24"/>
        </w:rPr>
      </w:pPr>
    </w:p>
    <w:p w:rsidR="0039033E" w:rsidRPr="00036404" w:rsidRDefault="0039033E" w:rsidP="00036404">
      <w:pPr>
        <w:spacing w:line="360" w:lineRule="atLeast"/>
        <w:jc w:val="both"/>
        <w:rPr>
          <w:rFonts w:eastAsia="Calibri"/>
          <w:b/>
          <w:szCs w:val="24"/>
        </w:rPr>
      </w:pPr>
    </w:p>
    <w:sectPr w:rsidR="0039033E" w:rsidRPr="00036404" w:rsidSect="00C92F3B">
      <w:headerReference w:type="default" r:id="rId15"/>
      <w:footerReference w:type="default" r:id="rId16"/>
      <w:pgSz w:w="11906" w:h="16838" w:code="9"/>
      <w:pgMar w:top="1644" w:right="1106" w:bottom="2268" w:left="1622" w:header="709" w:footer="669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B5" w:rsidRDefault="007B3CB5">
      <w:pPr>
        <w:spacing w:after="0" w:line="240" w:lineRule="auto"/>
      </w:pPr>
      <w:r>
        <w:separator/>
      </w:r>
    </w:p>
  </w:endnote>
  <w:endnote w:type="continuationSeparator" w:id="0">
    <w:p w:rsidR="007B3CB5" w:rsidRDefault="007B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90" w:rsidRDefault="007B3C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B5" w:rsidRDefault="007B3CB5">
      <w:pPr>
        <w:spacing w:after="0" w:line="240" w:lineRule="auto"/>
      </w:pPr>
      <w:r>
        <w:separator/>
      </w:r>
    </w:p>
  </w:footnote>
  <w:footnote w:type="continuationSeparator" w:id="0">
    <w:p w:rsidR="007B3CB5" w:rsidRDefault="007B3CB5">
      <w:pPr>
        <w:spacing w:after="0" w:line="240" w:lineRule="auto"/>
      </w:pPr>
      <w:r>
        <w:continuationSeparator/>
      </w:r>
    </w:p>
  </w:footnote>
  <w:footnote w:id="1">
    <w:p w:rsidR="002A7896" w:rsidRDefault="002A7896">
      <w:pPr>
        <w:pStyle w:val="Funotentext"/>
      </w:pPr>
      <w:r>
        <w:rPr>
          <w:rStyle w:val="Funotenzeichen"/>
        </w:rPr>
        <w:footnoteRef/>
      </w:r>
      <w:r>
        <w:t xml:space="preserve"> Das Operationelle Programm steht unter </w:t>
      </w:r>
      <w:hyperlink r:id="rId1" w:history="1">
        <w:r w:rsidRPr="008D0DF3">
          <w:rPr>
            <w:rStyle w:val="Hyperlink"/>
            <w:rFonts w:eastAsia="Calibri"/>
            <w:szCs w:val="24"/>
          </w:rPr>
          <w:t>http://www.efre-bw.de/operationelles-programm/</w:t>
        </w:r>
      </w:hyperlink>
      <w:r>
        <w:t xml:space="preserve"> zum Dow</w:t>
      </w:r>
      <w:r>
        <w:t>n</w:t>
      </w:r>
      <w:r>
        <w:t>load zur Verfügung</w:t>
      </w:r>
    </w:p>
  </w:footnote>
  <w:footnote w:id="2">
    <w:p w:rsidR="00F14856" w:rsidRPr="002A7896" w:rsidRDefault="00F14856" w:rsidP="00F14856">
      <w:pPr>
        <w:pStyle w:val="Funotentext"/>
      </w:pPr>
      <w:r>
        <w:rPr>
          <w:rStyle w:val="Funotenzeichen"/>
        </w:rPr>
        <w:footnoteRef/>
      </w:r>
      <w:r>
        <w:t xml:space="preserve"> Die </w:t>
      </w:r>
      <w:proofErr w:type="spellStart"/>
      <w:r w:rsidRPr="002A7896">
        <w:rPr>
          <w:rFonts w:eastAsia="Times New Roman"/>
          <w:szCs w:val="24"/>
          <w:lang w:eastAsia="de-DE"/>
        </w:rPr>
        <w:t>VwV</w:t>
      </w:r>
      <w:proofErr w:type="spellEnd"/>
      <w:r w:rsidRPr="002A7896">
        <w:rPr>
          <w:rFonts w:eastAsia="Times New Roman"/>
          <w:szCs w:val="24"/>
          <w:lang w:eastAsia="de-DE"/>
        </w:rPr>
        <w:t xml:space="preserve"> EFRE FEIH </w:t>
      </w:r>
      <w:r>
        <w:t xml:space="preserve">steht unter </w:t>
      </w:r>
      <w:hyperlink r:id="rId2" w:history="1">
        <w:r w:rsidRPr="00AD42DC">
          <w:rPr>
            <w:rStyle w:val="Hyperlink"/>
            <w:szCs w:val="24"/>
          </w:rPr>
          <w:t>http://www.efre-bw.de/regelungen/</w:t>
        </w:r>
      </w:hyperlink>
      <w:r>
        <w:rPr>
          <w:rStyle w:val="Hyperlink"/>
          <w:color w:val="auto"/>
          <w:szCs w:val="24"/>
          <w:u w:val="none"/>
        </w:rPr>
        <w:t xml:space="preserve"> zum Download zur Verfügung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90" w:rsidRDefault="00951C1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>
      <w:rPr>
        <w:rStyle w:val="Seitenzahl"/>
        <w:sz w:val="16"/>
        <w:szCs w:val="16"/>
      </w:rPr>
      <w:fldChar w:fldCharType="separate"/>
    </w:r>
    <w:r w:rsidR="00824AC6">
      <w:rPr>
        <w:rStyle w:val="Seitenzahl"/>
        <w:noProof/>
        <w:sz w:val="16"/>
        <w:szCs w:val="16"/>
      </w:rPr>
      <w:t>2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:rsidR="00564B90" w:rsidRDefault="007B3CB5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B80"/>
    <w:multiLevelType w:val="hybridMultilevel"/>
    <w:tmpl w:val="D1E85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0BD8"/>
    <w:multiLevelType w:val="hybridMultilevel"/>
    <w:tmpl w:val="1812B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75C"/>
    <w:multiLevelType w:val="hybridMultilevel"/>
    <w:tmpl w:val="5F5A7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F4B95"/>
    <w:multiLevelType w:val="hybridMultilevel"/>
    <w:tmpl w:val="94DE6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719EB"/>
    <w:multiLevelType w:val="hybridMultilevel"/>
    <w:tmpl w:val="E0246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0086BC2"/>
    <w:multiLevelType w:val="hybridMultilevel"/>
    <w:tmpl w:val="E20C9E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73"/>
    <w:rsid w:val="0000298F"/>
    <w:rsid w:val="00036404"/>
    <w:rsid w:val="00062C0E"/>
    <w:rsid w:val="000876CC"/>
    <w:rsid w:val="000B206C"/>
    <w:rsid w:val="000B459C"/>
    <w:rsid w:val="000B6487"/>
    <w:rsid w:val="000E725C"/>
    <w:rsid w:val="00121D8F"/>
    <w:rsid w:val="00127F4B"/>
    <w:rsid w:val="00184FD6"/>
    <w:rsid w:val="001C7DED"/>
    <w:rsid w:val="001D63F9"/>
    <w:rsid w:val="001E3133"/>
    <w:rsid w:val="001E6754"/>
    <w:rsid w:val="001F0866"/>
    <w:rsid w:val="002634FF"/>
    <w:rsid w:val="00277BCE"/>
    <w:rsid w:val="002A354E"/>
    <w:rsid w:val="002A7896"/>
    <w:rsid w:val="003352FA"/>
    <w:rsid w:val="00340732"/>
    <w:rsid w:val="003445C9"/>
    <w:rsid w:val="00375D51"/>
    <w:rsid w:val="00386A4D"/>
    <w:rsid w:val="0039033E"/>
    <w:rsid w:val="003C00AE"/>
    <w:rsid w:val="003D008A"/>
    <w:rsid w:val="003E568C"/>
    <w:rsid w:val="00495379"/>
    <w:rsid w:val="004A5093"/>
    <w:rsid w:val="004C3106"/>
    <w:rsid w:val="004D317A"/>
    <w:rsid w:val="004D47EA"/>
    <w:rsid w:val="004D6E6C"/>
    <w:rsid w:val="004E5F54"/>
    <w:rsid w:val="004E675E"/>
    <w:rsid w:val="004F196B"/>
    <w:rsid w:val="004F7BAA"/>
    <w:rsid w:val="00523641"/>
    <w:rsid w:val="00524DC3"/>
    <w:rsid w:val="0055147D"/>
    <w:rsid w:val="00594222"/>
    <w:rsid w:val="00594DFF"/>
    <w:rsid w:val="00605C9A"/>
    <w:rsid w:val="006552AE"/>
    <w:rsid w:val="00674143"/>
    <w:rsid w:val="006A38CF"/>
    <w:rsid w:val="006D4395"/>
    <w:rsid w:val="006E31F6"/>
    <w:rsid w:val="006F5708"/>
    <w:rsid w:val="00706219"/>
    <w:rsid w:val="00776DCE"/>
    <w:rsid w:val="007B3CB5"/>
    <w:rsid w:val="007B628F"/>
    <w:rsid w:val="007B779A"/>
    <w:rsid w:val="00810DA6"/>
    <w:rsid w:val="00824AC6"/>
    <w:rsid w:val="008A043F"/>
    <w:rsid w:val="008A070A"/>
    <w:rsid w:val="008A2C52"/>
    <w:rsid w:val="008C0F9D"/>
    <w:rsid w:val="008C237E"/>
    <w:rsid w:val="008C3879"/>
    <w:rsid w:val="008E7857"/>
    <w:rsid w:val="0094028D"/>
    <w:rsid w:val="00951C19"/>
    <w:rsid w:val="00951C1A"/>
    <w:rsid w:val="009E398D"/>
    <w:rsid w:val="00A00D80"/>
    <w:rsid w:val="00A41CED"/>
    <w:rsid w:val="00A5216D"/>
    <w:rsid w:val="00A71252"/>
    <w:rsid w:val="00AB33C0"/>
    <w:rsid w:val="00AC3448"/>
    <w:rsid w:val="00AC3C47"/>
    <w:rsid w:val="00AE28BB"/>
    <w:rsid w:val="00B11A79"/>
    <w:rsid w:val="00B61B03"/>
    <w:rsid w:val="00B83ED8"/>
    <w:rsid w:val="00BB010A"/>
    <w:rsid w:val="00BF42CC"/>
    <w:rsid w:val="00C00563"/>
    <w:rsid w:val="00C44AD0"/>
    <w:rsid w:val="00C92F3B"/>
    <w:rsid w:val="00CD22A5"/>
    <w:rsid w:val="00CD4DB2"/>
    <w:rsid w:val="00CE1A4C"/>
    <w:rsid w:val="00CF53A2"/>
    <w:rsid w:val="00D22B62"/>
    <w:rsid w:val="00D53485"/>
    <w:rsid w:val="00D6115C"/>
    <w:rsid w:val="00DE32A9"/>
    <w:rsid w:val="00DE3DB8"/>
    <w:rsid w:val="00E120D3"/>
    <w:rsid w:val="00E15E40"/>
    <w:rsid w:val="00E268AC"/>
    <w:rsid w:val="00E37259"/>
    <w:rsid w:val="00E531C9"/>
    <w:rsid w:val="00E54108"/>
    <w:rsid w:val="00E706D4"/>
    <w:rsid w:val="00E77822"/>
    <w:rsid w:val="00E77DE2"/>
    <w:rsid w:val="00E94565"/>
    <w:rsid w:val="00EC07C7"/>
    <w:rsid w:val="00EE24D0"/>
    <w:rsid w:val="00EE2532"/>
    <w:rsid w:val="00F14856"/>
    <w:rsid w:val="00F421B0"/>
    <w:rsid w:val="00F5161A"/>
    <w:rsid w:val="00F5171C"/>
    <w:rsid w:val="00F5273E"/>
    <w:rsid w:val="00F77F0F"/>
    <w:rsid w:val="00FA3C15"/>
    <w:rsid w:val="00FC6473"/>
    <w:rsid w:val="00FF445F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68AC"/>
    <w:pPr>
      <w:spacing w:after="0" w:line="240" w:lineRule="auto"/>
    </w:pPr>
    <w:rPr>
      <w:rFonts w:ascii="Arial" w:hAnsi="Arial" w:cs="Arial"/>
      <w:sz w:val="24"/>
    </w:rPr>
  </w:style>
  <w:style w:type="numbering" w:customStyle="1" w:styleId="Landesgliederung">
    <w:name w:val="Landesgliederung"/>
    <w:uiPriority w:val="99"/>
    <w:rsid w:val="00E268AC"/>
    <w:pPr>
      <w:numPr>
        <w:numId w:val="1"/>
      </w:numPr>
    </w:pPr>
  </w:style>
  <w:style w:type="paragraph" w:styleId="Kopfzeile">
    <w:name w:val="header"/>
    <w:basedOn w:val="Standard"/>
    <w:link w:val="KopfzeileZchn"/>
    <w:rsid w:val="00E15E4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rsid w:val="00E15E4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E15E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15E4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E15E40"/>
  </w:style>
  <w:style w:type="character" w:styleId="Hyperlink">
    <w:name w:val="Hyperlink"/>
    <w:basedOn w:val="Absatz-Standardschriftart"/>
    <w:uiPriority w:val="99"/>
    <w:unhideWhenUsed/>
    <w:rsid w:val="000029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22B62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CD22A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789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7896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789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3E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3E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3ED8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3E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3ED8"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83ED8"/>
    <w:pPr>
      <w:spacing w:after="0" w:line="240" w:lineRule="auto"/>
    </w:pPr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ED8"/>
    <w:rPr>
      <w:rFonts w:ascii="Tahoma" w:hAnsi="Tahoma" w:cs="Tahoma"/>
      <w:sz w:val="16"/>
      <w:szCs w:val="16"/>
    </w:rPr>
  </w:style>
  <w:style w:type="character" w:styleId="SchwacherVerweis">
    <w:name w:val="Subtle Reference"/>
    <w:basedOn w:val="Absatz-Standardschriftart"/>
    <w:uiPriority w:val="31"/>
    <w:qFormat/>
    <w:rsid w:val="00F77F0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68AC"/>
    <w:pPr>
      <w:spacing w:after="0" w:line="240" w:lineRule="auto"/>
    </w:pPr>
    <w:rPr>
      <w:rFonts w:ascii="Arial" w:hAnsi="Arial" w:cs="Arial"/>
      <w:sz w:val="24"/>
    </w:rPr>
  </w:style>
  <w:style w:type="numbering" w:customStyle="1" w:styleId="Landesgliederung">
    <w:name w:val="Landesgliederung"/>
    <w:uiPriority w:val="99"/>
    <w:rsid w:val="00E268AC"/>
    <w:pPr>
      <w:numPr>
        <w:numId w:val="1"/>
      </w:numPr>
    </w:pPr>
  </w:style>
  <w:style w:type="paragraph" w:styleId="Kopfzeile">
    <w:name w:val="header"/>
    <w:basedOn w:val="Standard"/>
    <w:link w:val="KopfzeileZchn"/>
    <w:rsid w:val="00E15E4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rsid w:val="00E15E4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E15E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15E4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E15E40"/>
  </w:style>
  <w:style w:type="character" w:styleId="Hyperlink">
    <w:name w:val="Hyperlink"/>
    <w:basedOn w:val="Absatz-Standardschriftart"/>
    <w:uiPriority w:val="99"/>
    <w:unhideWhenUsed/>
    <w:rsid w:val="000029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22B62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CD22A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789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7896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789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3E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3E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3ED8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3E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3ED8"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83ED8"/>
    <w:pPr>
      <w:spacing w:after="0" w:line="240" w:lineRule="auto"/>
    </w:pPr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ED8"/>
    <w:rPr>
      <w:rFonts w:ascii="Tahoma" w:hAnsi="Tahoma" w:cs="Tahoma"/>
      <w:sz w:val="16"/>
      <w:szCs w:val="16"/>
    </w:rPr>
  </w:style>
  <w:style w:type="character" w:styleId="SchwacherVerweis">
    <w:name w:val="Subtle Reference"/>
    <w:basedOn w:val="Absatz-Standardschriftart"/>
    <w:uiPriority w:val="31"/>
    <w:qFormat/>
    <w:rsid w:val="00F77F0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resa.Braunwald@mwk.bwl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tharina.Caesar@mwk.bwl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fre@l-bank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fre@l-bank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fre-bw.de/foerderaufruf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re-bw.de/regelungen/" TargetMode="External"/><Relationship Id="rId1" Type="http://schemas.openxmlformats.org/officeDocument/2006/relationships/hyperlink" Target="http://www.efre-bw.de/operationelles-program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AB79-85B4-4A8A-8061-54FF638D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1434</Words>
  <Characters>9035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Caesar, Katharina, Dr. (MWK)</dc:creator>
  <cp:lastModifiedBy>Sprenger, Uta, Dr. (MWK)</cp:lastModifiedBy>
  <cp:revision>2</cp:revision>
  <cp:lastPrinted>2016-04-12T08:26:00Z</cp:lastPrinted>
  <dcterms:created xsi:type="dcterms:W3CDTF">2016-05-06T08:25:00Z</dcterms:created>
  <dcterms:modified xsi:type="dcterms:W3CDTF">2016-05-06T08:25:00Z</dcterms:modified>
</cp:coreProperties>
</file>