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682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VwV EFRE Erweiterung von Innovationskapazitäten </w:t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EVI 2014 - 2020</w:t>
            </w:r>
          </w:p>
        </w:tc>
      </w:tr>
      <w:tr>
        <w:trPr>
          <w:trHeight w:hRule="exact" w:val="113"/>
        </w:trPr>
        <w:tc>
          <w:tcPr>
            <w:tcW w:w="9180" w:type="dxa"/>
            <w:shd w:val="clear" w:color="auto" w:fill="auto"/>
          </w:tcPr>
          <w:p>
            <w:pPr>
              <w:pStyle w:val="Titel1-VN-Vordruck"/>
              <w:rPr>
                <w:b w:val="0"/>
              </w:rPr>
            </w:pPr>
          </w:p>
        </w:tc>
      </w:tr>
      <w:tr>
        <w:trPr>
          <w:trHeight w:hRule="exact" w:val="461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b w:val="0"/>
                <w:sz w:val="24"/>
              </w:rPr>
            </w:pPr>
            <w:r>
              <w:rPr>
                <w:rFonts w:cs="Arial"/>
                <w:sz w:val="24"/>
              </w:rPr>
              <w:t>hier : Infrastruktur für Gründungsprozesse in Start-up-Acceleratoren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werden.):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Ausstattung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B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B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 - Erwerb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 - Sachleistung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G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G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IG+BG+GEG+GS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=SAG+IG+BG+GEG+GSG+SoG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Z"/>
                  <w:enabled w:val="0"/>
                  <w:calcOnExit/>
                  <w:textInput>
                    <w:type w:val="calculated"/>
                    <w:default w:val="=SAZ+IZ+BZ+GEZ+GSZ"/>
                    <w:format w:val="#.##0,00"/>
                  </w:textInput>
                </w:ffData>
              </w:fldChar>
            </w:r>
            <w:bookmarkStart w:id="23" w:name="KZ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=SAZ+IZ+BZ+GEZ+GSZ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4" w:name="_Ref461605864"/>
            <w:r>
              <w:rPr>
                <w:b/>
                <w:sz w:val="20"/>
                <w:szCs w:val="20"/>
              </w:rPr>
              <w:t>Finanzierung</w:t>
            </w:r>
            <w:bookmarkEnd w:id="24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122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273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57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02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_Ref461605864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95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83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813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entspricht. Eine entsprechende Zertifizierung über die Zuverlässigkeit des Systems liegt dem Zwischen-/Verwendungsnachweis bei (Art. 140 (6) VO 1303/2013).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4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97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haben gehören, bei dem infolge einer Produktionsverlagerung außerhalb des Programmg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eine Baurechnung entsprechend den Bestimmungen des Zuwe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dungsbescheides geführt wurde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Nutzung des Accelerators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bestätige/n, dass den Nutzern der Besitz oder die Nutzung des Accelerators für e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nen Zeitraum von min. 15 Jahren überlassen wird.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Weitergabe des wirtschaftlichen Vorteils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bestätige/n, dass die Regeln über staatliche Beihilfen nach Artikel 107 ff. AEUV b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achtet werden sofern die Vermietung der Räumlichkeiten oder die Erbringung von Diens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leistungen an Unternehmen unterhalb der marktüblichen Konditionen erfolgt. Der wirtschaf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lastRenderedPageBreak/>
              <w:t>liche Vorteil durch die Zuwendung wird auf Basis einer geeigneten beihilferechtlichen Grun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lage an die Nutzer des Accelerators weitergegeben.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77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40" w:name="_Ref410212919"/>
            <w:r>
              <w:rPr>
                <w:rStyle w:val="Funotenzeichen"/>
                <w:szCs w:val="20"/>
              </w:rPr>
              <w:footnoteReference w:id="1"/>
            </w:r>
            <w:bookmarkEnd w:id="40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  <w:highlight w:val="yellow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bookmarkStart w:id="41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1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733183"/>
          <wp:effectExtent l="0" t="0" r="0" b="0"/>
          <wp:docPr id="1" name="Grafik 1" descr="viererband_01_M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rerband_01_MW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N87jjKZEEUBh+DHQS142QTQc65g=" w:salt="Ll5Ka6LesgaOoaTp719Saw=="/>
  <w:defaultTabStop w:val="708"/>
  <w:autoHyphenation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MLRID-124-454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http://spdienste.bitbw.bwl.de/LGL/EFRE/EFRE-Formulare/_layouts/DocIdRedir.aspx?ID=MLRID-124-454</Url>
      <Description>MLRID-124-454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36</Foerdertatbestand>
    <Inhalt_x0020_des_x0020_Dokuments xmlns="e44d7062-4e03-46c0-90ec-d0965be01d41">30</Inhalt_x0020_des_x0020_Dokuments>
    <VwV xmlns="e44d7062-4e03-46c0-90ec-d0965be01d41">1</VwV>
  </documentManagement>
</p:properties>
</file>

<file path=customXml/itemProps1.xml><?xml version="1.0" encoding="utf-8"?>
<ds:datastoreItem xmlns:ds="http://schemas.openxmlformats.org/officeDocument/2006/customXml" ds:itemID="{FA5B833D-3BC5-4F7E-9A80-7251BACA2E2D}"/>
</file>

<file path=customXml/itemProps2.xml><?xml version="1.0" encoding="utf-8"?>
<ds:datastoreItem xmlns:ds="http://schemas.openxmlformats.org/officeDocument/2006/customXml" ds:itemID="{D2918A6E-919F-42FD-9DC6-7C2473C1F3DD}"/>
</file>

<file path=customXml/itemProps3.xml><?xml version="1.0" encoding="utf-8"?>
<ds:datastoreItem xmlns:ds="http://schemas.openxmlformats.org/officeDocument/2006/customXml" ds:itemID="{AE258A18-D394-40EB-A877-87BA627E0EB2}"/>
</file>

<file path=customXml/itemProps4.xml><?xml version="1.0" encoding="utf-8"?>
<ds:datastoreItem xmlns:ds="http://schemas.openxmlformats.org/officeDocument/2006/customXml" ds:itemID="{475D48E1-D4D6-4BBB-8D0E-CC6CA0756088}"/>
</file>

<file path=customXml/itemProps5.xml><?xml version="1.0" encoding="utf-8"?>
<ds:datastoreItem xmlns:ds="http://schemas.openxmlformats.org/officeDocument/2006/customXml" ds:itemID="{3E10F00E-BB31-45FF-A818-7EDCC6E3AAA6}"/>
</file>

<file path=customXml/itemProps6.xml><?xml version="1.0" encoding="utf-8"?>
<ds:datastoreItem xmlns:ds="http://schemas.openxmlformats.org/officeDocument/2006/customXml" ds:itemID="{EC98E1C2-EF04-4499-B93F-A8A4DC167013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1389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10124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Brotsmann, Rita (FH 9)</dc:creator>
  <cp:lastModifiedBy>Brotsmann, Rita (FH 9)</cp:lastModifiedBy>
  <cp:revision>3</cp:revision>
  <cp:lastPrinted>2015-01-29T14:02:00Z</cp:lastPrinted>
  <dcterms:created xsi:type="dcterms:W3CDTF">2018-09-21T08:52:00Z</dcterms:created>
  <dcterms:modified xsi:type="dcterms:W3CDTF">2018-09-21T08:53:00Z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45400</vt:r8>
  </property>
  <property fmtid="{D5CDD505-2E9C-101B-9397-08002B2CF9AE}" pid="3" name="WorkflowChangePath">
    <vt:lpwstr>afd95b55-5f12-44bd-a145-9c72ad322069,4;afd95b55-5f12-44bd-a145-9c72ad322069,9;afd95b55-5f12-44bd-a145-9c72ad322069,14;afd95b55-5f12-44bd-a145-9c72ad322069,16;afd95b55-5f12-44bd-a145-9c72ad322069,23;afd95b55-5f12-44bd-a145-9c72ad322069,25;afd95b55-5f12-44bd-a145-9c72ad322069,30;afd95b55-5f12-44bd-a145-9c72ad322069,32;afd95b55-5f12-44bd-a145-9c72ad322069,39;afd95b55-5f12-44bd-a145-9c72ad322069,44;641111c6-7eca-48cd-a318-1b327714b43d,46;641111c6-7eca-48cd-a318-1b327714b43d,48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cdb3df91-5af7-4189-816a-2a89541ab0a9</vt:lpwstr>
  </property>
</Properties>
</file>