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682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VwV EFRE Erweiterung von Innovationskapazitäten </w:t>
            </w:r>
          </w:p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EVI 2014 - 2020</w:t>
            </w:r>
          </w:p>
        </w:tc>
      </w:tr>
      <w:tr>
        <w:trPr>
          <w:trHeight w:hRule="exact" w:val="113"/>
        </w:trPr>
        <w:tc>
          <w:tcPr>
            <w:tcW w:w="9180" w:type="dxa"/>
            <w:shd w:val="clear" w:color="auto" w:fill="auto"/>
          </w:tcPr>
          <w:p>
            <w:pPr>
              <w:pStyle w:val="Titel1-VN-Vordruck"/>
              <w:rPr>
                <w:b w:val="0"/>
              </w:rPr>
            </w:pPr>
          </w:p>
        </w:tc>
      </w:tr>
      <w:tr>
        <w:trPr>
          <w:trHeight w:hRule="exact" w:val="461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b w:val="0"/>
                <w:sz w:val="24"/>
              </w:rPr>
            </w:pPr>
            <w:r>
              <w:rPr>
                <w:rFonts w:cs="Arial"/>
                <w:sz w:val="24"/>
              </w:rPr>
              <w:t>hier : Intermediäre des Technologietransfers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bookmarkStart w:id="0" w:name="_GoBack"/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(Euro)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(Euro)</w:t>
            </w:r>
          </w:p>
        </w:tc>
        <w:tc>
          <w:tcPr>
            <w:tcW w:w="5494" w:type="dxa"/>
            <w:shd w:val="clear" w:color="auto" w:fill="auto"/>
            <w:vAlign w:val="center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bookmarkStart w:id="4" w:name="Text7"/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bookmarkStart w:id="5" w:name="Text8"/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/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 w:val="18"/>
                <w:szCs w:val="18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Hinweis:</w:t>
            </w:r>
            <w:r>
              <w:rPr>
                <w:sz w:val="18"/>
                <w:szCs w:val="18"/>
              </w:rPr>
              <w:t xml:space="preserve"> Sofern zeitgleich mit dem Zwischen-/Verwendungsnachweis ein Zwischenbericht bzw. Abschlussb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richt eingereicht wird, der die o.g. Punkte beinhaltet, kann an dieser Stelle auf den anhängenden Bericht verwi</w:t>
            </w: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</w:pPr>
          </w:p>
          <w:p>
            <w:pPr>
              <w:pStyle w:val="Text"/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>
            <w:pPr>
              <w:pStyle w:val="Text"/>
            </w:pP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29"/>
        <w:gridCol w:w="293"/>
        <w:gridCol w:w="3164"/>
        <w:gridCol w:w="3162"/>
      </w:tblGrid>
      <w:tr>
        <w:tc>
          <w:tcPr>
            <w:tcW w:w="3029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</w:t>
            </w:r>
          </w:p>
        </w:tc>
        <w:tc>
          <w:tcPr>
            <w:tcW w:w="316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Zuwendungsfähig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Personalaufwendungen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P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P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Gemeinkostenpauschale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GK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K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GK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029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PG+GK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=SAG+PG+GKG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16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Z+PZ+GK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=SAZ+PZ+GKZ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12" w:name="_Ref422230233"/>
            <w:r>
              <w:rPr>
                <w:b/>
                <w:sz w:val="20"/>
                <w:szCs w:val="20"/>
              </w:rPr>
              <w:t>Finanzierung</w:t>
            </w:r>
            <w:bookmarkEnd w:id="1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9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bookmarkStart w:id="27" w:name="Text1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"/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>
        <w:trPr>
          <w:trHeight w:hRule="exact" w:val="400"/>
        </w:trPr>
        <w:tc>
          <w:tcPr>
            <w:tcW w:w="9498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856"/>
        </w:trPr>
        <w:tc>
          <w:tcPr>
            <w:tcW w:w="9498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Für die Gemeinkostenpauschale ist kein Nachweis zu erbringen.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jeweils die Beträge des aktuellen Zwischen-/Verwendungsnachweises ein.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Die Personalaufwendungen ergeben sich aus dem Formular „Personalaufwendungsübersicht je Mitarbeiter - Abrechnung“ (abrufbar unter </w:t>
            </w:r>
            <w:hyperlink r:id="rId9" w:history="1">
              <w:r>
                <w:rPr>
                  <w:rStyle w:val="Hyperlink"/>
                  <w:i/>
                  <w:sz w:val="20"/>
                  <w:szCs w:val="20"/>
                </w:rPr>
                <w:t>www.efre-bw.de</w:t>
              </w:r>
            </w:hyperlink>
            <w:r>
              <w:rPr>
                <w:i/>
                <w:sz w:val="20"/>
                <w:szCs w:val="20"/>
              </w:rPr>
              <w:t xml:space="preserve"> ).Bei mehreren Mitarbeitern ist die Summe der Einzelaufstellungen einzutragen.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42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gem. Belegliste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Z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8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Zzgl. Gemeinkostenpauschale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G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GK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9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Zuwendungsfähige Aufwendungen Gesamt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ZGA"/>
                  <w:enabled w:val="0"/>
                  <w:calcOnExit/>
                  <w:textInput>
                    <w:type w:val="calculated"/>
                    <w:default w:val="=ZA+GK"/>
                    <w:format w:val="#.##0,00"/>
                  </w:textInput>
                </w:ffData>
              </w:fldChar>
            </w:r>
            <w:bookmarkStart w:id="30" w:name="ZGA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=ZA+GK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instrText>0</w:instrTex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0,00</w:t>
            </w:r>
            <w:r>
              <w:rPr>
                <w:szCs w:val="20"/>
              </w:rPr>
              <w:fldChar w:fldCharType="end"/>
            </w:r>
            <w:bookmarkEnd w:id="30"/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bzw. 1.5 EFRE NBest-K werden Teilbeträge von weniger als 10.000,00 € nicht ausgezahlt. Bis zur Vorlage des Verwendungsnachweises werden maximal 90% der Gesamtzuwendung ausbezahlt.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01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42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Personalaufwendungen </w:t>
            </w:r>
          </w:p>
        </w:tc>
      </w:tr>
      <w:tr>
        <w:trPr>
          <w:trHeight w:val="2824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Ich/Wir bestätige/n, dass dem Personal die Aufgaben im geförderten Projekt </w:t>
            </w:r>
            <w:r>
              <w:rPr>
                <w:strike/>
                <w:szCs w:val="20"/>
                <w:highlight w:val="yellow"/>
              </w:rPr>
              <w:t>schriftlic</w:t>
            </w:r>
            <w:r>
              <w:rPr>
                <w:szCs w:val="20"/>
              </w:rPr>
              <w:t>h zug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wiesen wurden oder das Personal eigens für diese Aufgaben eingestellt wurde. In der Abor</w:t>
            </w:r>
            <w:r>
              <w:rPr>
                <w:szCs w:val="20"/>
              </w:rPr>
              <w:t>d</w:t>
            </w:r>
            <w:r>
              <w:rPr>
                <w:szCs w:val="20"/>
              </w:rPr>
              <w:t xml:space="preserve">nungsverfügung oder der </w:t>
            </w:r>
            <w:r>
              <w:rPr>
                <w:strike/>
                <w:szCs w:val="20"/>
                <w:highlight w:val="yellow"/>
              </w:rPr>
              <w:t>schriftlichen</w:t>
            </w:r>
            <w:r>
              <w:rPr>
                <w:szCs w:val="20"/>
              </w:rPr>
              <w:t xml:space="preserve"> Zuweisung der Aufgaben bzw. der Stellenbeschreibung wurden die EU-kofinanzierungsfähigen Projekttätigkeiten detailliert beschrieben. Soweit das kofinanzierte Personal nur anteilig kofinanzierungsfähige Aufgaben ausführt, wurde in der A</w:t>
            </w:r>
            <w:r>
              <w:rPr>
                <w:szCs w:val="20"/>
              </w:rPr>
              <w:t>b</w:t>
            </w:r>
            <w:r>
              <w:rPr>
                <w:szCs w:val="20"/>
              </w:rPr>
              <w:t xml:space="preserve">ordnung, der </w:t>
            </w:r>
            <w:r>
              <w:rPr>
                <w:strike/>
                <w:szCs w:val="20"/>
                <w:highlight w:val="yellow"/>
              </w:rPr>
              <w:t>schriftlichen</w:t>
            </w:r>
            <w:r>
              <w:rPr>
                <w:szCs w:val="20"/>
              </w:rPr>
              <w:t xml:space="preserve"> Zuweisung bzw. dem Vertrag der Anteil der Vollzeitstelle bzw. die Stundenzahl festgelegt. Die Abordnung, Aufgabenzuweisung bzw. der entsprechende Arbeit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vertrag sind beigefügt.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Das Formular „Personalaufwendungsübersicht je Mitarbeiter – Abrechnung“ inkl. Tätigkeit</w:t>
            </w:r>
            <w:r>
              <w:rPr>
                <w:szCs w:val="20"/>
              </w:rPr>
              <w:t>s</w:t>
            </w:r>
            <w:r>
              <w:rPr>
                <w:szCs w:val="20"/>
              </w:rPr>
              <w:t>nachweis sowie bei anteilig im Projekt Beschäftigten die Stundennachweise wurden vollstä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dig ausgefüllt und sind dem Zwischen-/Verwendungsnachweis beigefügt.</w:t>
            </w:r>
          </w:p>
          <w:p/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92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189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neben den in Ziffer 3.2 angegebenen Mitteln für dieses Vorhaben keine weitere Zuwendung aus einem anderen Europäischen Programm / Fonds oder einem anderen Programm des Landes Baden-Württemberg oder von einer anderen juristischen Pe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son des öffentlichen Rechts beantragt wurden, werden oder bewilligt sind.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38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Strafba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keit eines Subventionsbetrugs nach § 264 Strafgesetzbuch bekannt. 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1117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führungssystem den nationalen Rechtsvorschriften entspricht. Eine entsprechende Zertifizi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>rung über die Zuverlässigkeit des Systems liegt dem Zwischen-/Verwendungsnachweis bei (Art. 140 (6) VO 1303/2013).</w:t>
            </w:r>
          </w:p>
          <w:p/>
        </w:tc>
      </w:tr>
    </w:tbl>
    <w:p>
      <w:r>
        <w:br w:type="page"/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Unentgeltlichkeit der Beratungsleistungen</w:t>
            </w:r>
          </w:p>
        </w:tc>
      </w:tr>
      <w:tr>
        <w:trPr>
          <w:trHeight w:val="784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Beratungsleistungen im Rahmen des geförderten Vorhabens gegenüber den Nutzern unentgeltlich erbracht wurden.</w:t>
            </w:r>
          </w:p>
          <w:p/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225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Vorg</w:t>
            </w:r>
            <w:r>
              <w:rPr>
                <w:szCs w:val="20"/>
              </w:rPr>
              <w:t>a</w:t>
            </w:r>
            <w:r>
              <w:rPr>
                <w:szCs w:val="20"/>
              </w:rPr>
              <w:t>ben in Ziffer 6 der Nebenbestimmungen nach Nr. IV.1 des Zuwendungsbescheids (EFRE NBest-P/-K) durchgeführt wurden. Die Technischen Hinweise zur EFRE-konformen Durchfü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rung gem. „Regelungen und Hilfestellung zu Informations- und Kommunikationspflichten“ nach Ziffer 6.6 der EFRE-NBest-P/-K wurden beachtet.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Trennungsrechnung </w:t>
            </w:r>
          </w:p>
        </w:tc>
      </w:tr>
      <w:tr>
        <w:trPr>
          <w:trHeight w:val="1522"/>
        </w:trPr>
        <w:tc>
          <w:tcPr>
            <w:tcW w:w="567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t>Soweit das Vorhaben als beihilfefrei gewährt wurde bestätige/n ich/wir, dass die Tätigkeiten der Einrichtung nach wirtschaftlichen und nichtwirtschaftlichen Aktivitäten im Sinne des EU-Beihilferechts (vgl. Abschnitt 2 des Unionsrahmens für staatliche Beihilfen zur Förderung von Forschung, Entwicklung und Innovation - 2014/C 198/01) – getrennt werden. Die Zuwendung aus EFRE-Mitteln wurde dem nichtwirtschaftlichen Bereich zugeordnet.</w:t>
            </w:r>
            <w:r>
              <w:rPr>
                <w:color w:val="548DD4" w:themeColor="text2" w:themeTint="99"/>
                <w:szCs w:val="20"/>
              </w:rPr>
              <w:t xml:space="preserve"> </w:t>
            </w:r>
          </w:p>
          <w:p/>
        </w:tc>
      </w:tr>
      <w:tr>
        <w:trPr>
          <w:trHeight w:val="288"/>
        </w:trPr>
        <w:tc>
          <w:tcPr>
            <w:tcW w:w="567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793"/>
        </w:trPr>
        <w:tc>
          <w:tcPr>
            <w:tcW w:w="567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613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  <w:p>
            <w:pPr>
              <w:pStyle w:val="TabelleberschriftLinks"/>
              <w:jc w:val="both"/>
            </w:pPr>
          </w:p>
        </w:tc>
      </w:tr>
    </w:tbl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Belegliste</w:t>
            </w:r>
            <w:bookmarkStart w:id="31" w:name="_Ref410212919"/>
            <w:r>
              <w:rPr>
                <w:rStyle w:val="Funotenzeichen"/>
                <w:szCs w:val="20"/>
              </w:rPr>
              <w:footnoteReference w:id="2"/>
            </w:r>
            <w:bookmarkEnd w:id="31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Gehaltsnachweise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Abordnungsverfügungen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  <w:r>
              <w:t xml:space="preserve"> </w:t>
            </w:r>
            <w:r>
              <w:rPr>
                <w:szCs w:val="20"/>
              </w:rPr>
              <w:t>/ Arbeitszuweisungen / Arbeitsverträge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Personalaufwendungsübersicht je Mitarbeiter – Abrechnung inkl. Tätigkeits-/Stundennachweise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  <w: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Nachweise über Informations- und Kommunikationsmaßnahmen in Kopie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</w:t>
            </w:r>
            <w:r>
              <w:rPr>
                <w:i/>
                <w:color w:val="4F81BD" w:themeColor="accent1"/>
                <w:sz w:val="18"/>
                <w:szCs w:val="18"/>
              </w:rPr>
              <w:t>i</w:t>
            </w:r>
            <w:r>
              <w:rPr>
                <w:i/>
                <w:color w:val="4F81BD" w:themeColor="accent1"/>
                <w:sz w:val="18"/>
                <w:szCs w:val="18"/>
              </w:rPr>
              <w:t>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Zwischenbericht (sofern nicht bereits vorgelegt)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Nachweis über die Zertifizierung des Buchführungssystems</w:t>
            </w:r>
            <w:r>
              <w:rPr>
                <w:szCs w:val="22"/>
              </w:rPr>
              <w:t xml:space="preserve"> in Kopie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bei elektronischer Bele</w:t>
            </w:r>
            <w:r>
              <w:rPr>
                <w:i/>
                <w:color w:val="4F81BD" w:themeColor="accent1"/>
                <w:sz w:val="18"/>
                <w:szCs w:val="18"/>
              </w:rPr>
              <w:t>g</w:t>
            </w:r>
            <w:r>
              <w:rPr>
                <w:i/>
                <w:color w:val="4F81BD" w:themeColor="accent1"/>
                <w:sz w:val="18"/>
                <w:szCs w:val="18"/>
              </w:rPr>
              <w:t>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 w:val="22"/>
                <w:szCs w:val="22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</w:rPr>
              <w:fldChar w:fldCharType="begin"/>
            </w:r>
            <w:r>
              <w:rPr>
                <w:rStyle w:val="Funotenzeichen"/>
              </w:rPr>
              <w:instrText xml:space="preserve"> NOTEREF _Ref410212919 \h  \* MERGEFORMAT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>
              <w:rPr>
                <w:rStyle w:val="Funotenzeichen"/>
              </w:rPr>
              <w:t>2</w:t>
            </w:r>
            <w:r>
              <w:rPr>
                <w:rStyle w:val="Funotenzeichen"/>
              </w:rPr>
              <w:fldChar w:fldCharType="end"/>
            </w:r>
            <w: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 w:val="22"/>
                <w:szCs w:val="22"/>
              </w:rPr>
            </w:pPr>
            <w:r>
              <w:rPr>
                <w:szCs w:val="20"/>
              </w:rPr>
              <w:t>Abschlussbericht</w:t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i/>
                <w:color w:val="4F81BD" w:themeColor="accent1"/>
                <w:sz w:val="18"/>
                <w:szCs w:val="18"/>
              </w:rPr>
              <w:sym w:font="Wingdings" w:char="F0F0"/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bitte auch elektronische Übermittlung als pdf-Datei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</w:t>
            </w:r>
          </w:p>
        </w:tc>
      </w:tr>
    </w:tbl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rPr>
          <w:trHeight w:hRule="exact" w:val="170"/>
        </w:trP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10"/>
      <w:headerReference w:type="first" r:id="rId11"/>
      <w:footerReference w:type="first" r:id="rId12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284" w:hanging="142"/>
        <w:rPr>
          <w:rFonts w:cs="Arial"/>
          <w:bCs/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Die Gemeinkostenpauschale beträgt 15 % der Personalaufwendungen, sie umfasst</w:t>
      </w:r>
      <w:r>
        <w:rPr>
          <w:rFonts w:cs="Arial"/>
          <w:color w:val="000000"/>
          <w:sz w:val="18"/>
          <w:szCs w:val="18"/>
        </w:rPr>
        <w:t xml:space="preserve"> indirekte Aufwendungen, die im direkten Zusammenhang mit dem im Projekt beschäftigten Personal</w:t>
      </w:r>
      <w:r>
        <w:rPr>
          <w:sz w:val="18"/>
          <w:szCs w:val="18"/>
        </w:rPr>
        <w:t xml:space="preserve"> stehen </w:t>
      </w:r>
      <w:r>
        <w:rPr>
          <w:sz w:val="18"/>
          <w:szCs w:val="18"/>
          <w:highlight w:val="yellow"/>
        </w:rPr>
        <w:t>insbesondere</w:t>
      </w:r>
      <w:r>
        <w:rPr>
          <w:sz w:val="18"/>
          <w:szCs w:val="18"/>
        </w:rPr>
        <w:t xml:space="preserve"> Büromiete, Strom, Wasser, Reinigung, IT-Wartung, Telefon / Internet (laufende Kosten), Büroverbrauchsmaterial, Steue</w:t>
      </w:r>
      <w:r>
        <w:rPr>
          <w:sz w:val="18"/>
          <w:szCs w:val="18"/>
        </w:rPr>
        <w:t>r</w:t>
      </w:r>
      <w:r>
        <w:rPr>
          <w:sz w:val="18"/>
          <w:szCs w:val="18"/>
        </w:rPr>
        <w:t>büro- / Lohnabrechnungskosten, Arbeitskleidung. Eine Einzelabrechnung dieser Aufwendungen als Sachau</w:t>
      </w:r>
      <w:r>
        <w:rPr>
          <w:sz w:val="18"/>
          <w:szCs w:val="18"/>
        </w:rPr>
        <w:t>f</w:t>
      </w:r>
      <w:r>
        <w:rPr>
          <w:sz w:val="18"/>
          <w:szCs w:val="18"/>
        </w:rPr>
        <w:t>wendungen ist nicht möglich.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  <w:ind w:left="-851" w:firstLine="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7.75pt">
          <v:imagedata r:id="rId1" o:title="viererband_01_MWAW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mqU9KqBDPwPGeJAsWOZdHfZZss8=" w:salt="i/3p+MM/AASM6TbH0Z/WIA=="/>
  <w:defaultTabStop w:val="708"/>
  <w:autoHyphenation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hyperlink" Target="http://www.efre-bw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MLRID-124-415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TaxCatchAll xmlns="e3f349d8-a175-4457-a533-fa425fa8e606">
      <Value>108</Value>
      <Value>53</Value>
    </TaxCatchAll>
    <_dlc_DocIdUrl xmlns="e3f349d8-a175-4457-a533-fa425fa8e606">
      <Url>http://spdienste.bitbw.bwl.de/LGL/EFRE/EFRE-Formulare/_layouts/DocIdRedir.aspx?ID=MLRID-124-415</Url>
      <Description>MLRID-124-415</Description>
    </_dlc_DocIdUrl>
    <Gültig_x0020_bis xmlns="f1c26fa5-31a9-441b-b268-98b37c9ff6bb" xsi:nil="true"/>
    <Gültig_x0020_ab xmlns="f1c26fa5-31a9-441b-b268-98b37c9ff6bb">2018-09-19T22:00:00+00:00</Gültig_x0020_ab>
    <Online_x0020_ab xmlns="e44d7062-4e03-46c0-90ec-d0965be01d41" xsi:nil="true"/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2</Foerdertatbestand>
    <Inhalt_x0020_des_x0020_Dokuments xmlns="e44d7062-4e03-46c0-90ec-d0965be01d41">30</Inhalt_x0020_des_x0020_Dokuments>
    <VwV xmlns="e44d7062-4e03-46c0-90ec-d0965be01d41">1</VwV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9138F-B04A-4532-BA7C-6242044D99FA}"/>
</file>

<file path=customXml/itemProps2.xml><?xml version="1.0" encoding="utf-8"?>
<ds:datastoreItem xmlns:ds="http://schemas.openxmlformats.org/officeDocument/2006/customXml" ds:itemID="{17CB6774-1FB4-431C-84DE-5FBC8E334AAB}"/>
</file>

<file path=customXml/itemProps3.xml><?xml version="1.0" encoding="utf-8"?>
<ds:datastoreItem xmlns:ds="http://schemas.openxmlformats.org/officeDocument/2006/customXml" ds:itemID="{8F633E63-8604-4323-8773-FD6AF169B4C3}"/>
</file>

<file path=customXml/itemProps4.xml><?xml version="1.0" encoding="utf-8"?>
<ds:datastoreItem xmlns:ds="http://schemas.openxmlformats.org/officeDocument/2006/customXml" ds:itemID="{97A53D4F-FB48-46B6-8AF7-A8C54CAC52E5}"/>
</file>

<file path=customXml/itemProps5.xml><?xml version="1.0" encoding="utf-8"?>
<ds:datastoreItem xmlns:ds="http://schemas.openxmlformats.org/officeDocument/2006/customXml" ds:itemID="{3E8DF7B7-80CA-4D3D-87D9-E5A2562F62DC}"/>
</file>

<file path=customXml/itemProps6.xml><?xml version="1.0" encoding="utf-8"?>
<ds:datastoreItem xmlns:ds="http://schemas.openxmlformats.org/officeDocument/2006/customXml" ds:itemID="{07B4F425-9392-4A1A-9144-426D18EBF826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1543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Förderprogramm EFRE: Förderung von Bioenergiedörfern</vt:lpstr>
    </vt:vector>
  </TitlesOfParts>
  <Company>L-Bank</Company>
  <LinksUpToDate>false</LinksUpToDate>
  <CharactersWithSpaces>11243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Zieger</dc:creator>
  <cp:lastModifiedBy>Brotsmann, Rita (FH 9)</cp:lastModifiedBy>
  <cp:revision>3</cp:revision>
  <cp:lastPrinted>2015-06-12T07:00:00Z</cp:lastPrinted>
  <dcterms:created xsi:type="dcterms:W3CDTF">2018-09-21T09:04:00Z</dcterms:created>
  <dcterms:modified xsi:type="dcterms:W3CDTF">2018-09-21T09:10:00Z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41500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322069,13;afd95b55-5f12-44bd-a145-9c72ad322069,20;afd95b55-5f12-44bd-a145-9c72ad322069,22;afd95b55-5f12-44bd-a145-9c72ad322069,27;afd95b55-5f12-44bd-a145-9c72ad322069,29;afd95b55-5f12-44bd-a145-9c72ad322069,36;afd95b55-5f12-44bd-a145-9c72ad322069,39;afd95b55-5f12-44bd-a145-9c72ad322069,41;afd95b55-5f12-44bd-a145-9c72ad322069,48;afd95b55-5f12-44bd-a145-9c72ad322069,50;641111c6-7eca-48cd-a318-1b327714b43d,53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c49ce358-2de8-4848-9366-78182757128c</vt:lpwstr>
  </property>
</Properties>
</file>