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65"/>
      </w:tblGrid>
      <w:tr>
        <w:trPr>
          <w:trHeight w:val="454"/>
        </w:trPr>
        <w:tc>
          <w:tcPr>
            <w:tcW w:w="9165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val="454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val="454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30"/>
                <w:szCs w:val="30"/>
              </w:rPr>
              <w:t>Verwaltungsvorschrift des MWK zur Stärkung von Forschung, technologischer Entwicklung und Innovation an staatlichen Hochschulen in Baden-Württemberg (FEIH)</w:t>
            </w:r>
          </w:p>
        </w:tc>
      </w:tr>
      <w:tr>
        <w:trPr>
          <w:trHeight w:hRule="exact" w:val="113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>
        <w:trPr>
          <w:trHeight w:val="340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anwendungsorientierte Forschungsprojekte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rPr>
          <w:trHeight w:hRule="exact" w:val="227"/>
        </w:trP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(einmal jährlich zum 28.02. des Folgejahres)</w:t>
            </w:r>
          </w:p>
        </w:tc>
      </w:tr>
      <w:tr>
        <w:trPr>
          <w:trHeight w:hRule="exact" w:val="80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227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(nach Abschluss des EFRE-Projektes)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70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75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358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bookmarkStart w:id="3" w:name="Text7"/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bookmarkStart w:id="4" w:name="Text8"/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/>
    <w:p/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Sachbericht bei Zwischennachweis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rFonts w:cs="Arial"/>
                <w:szCs w:val="20"/>
              </w:rPr>
              <w:t>Gemäß Zuwendungsbescheid ist jeweils zum 28.02 des Folgejahres ein kurzer Sachbericht (ca. 10 Seiten) einzureichen, in welchem die erreichten Meilensteine und die Ergebnisse des vorangega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genen Projektjahres dargelegt werden. Dieser ist dem Zwischennachweis als Anlage beizufügen.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rFonts w:cs="Arial"/>
                <w:szCs w:val="20"/>
              </w:rPr>
              <w:t>Der Abschlussbericht (ca. 30 Seiten), in welchem die erreichten Meilensteine und die Ergebnisse des Gesamtvorhabens darzulegen sind, ist dem Verwendungsnachweis als Anlage beizufügen.</w:t>
            </w:r>
          </w:p>
        </w:tc>
      </w:tr>
    </w:tbl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sind nur die Nettoaufwendungen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Investitionen 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Reiseaufwendungen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R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R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IG+PG+R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=SaG+IG+PG+RG+SoG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9"/>
                  <w:enabled w:val="0"/>
                  <w:calcOnExit/>
                  <w:textInput>
                    <w:type w:val="calculated"/>
                    <w:default w:val="=SaZ+IZ+PZ+RZ"/>
                    <w:format w:val="#.##0,00"/>
                  </w:textInput>
                </w:ffData>
              </w:fldChar>
            </w:r>
            <w:bookmarkStart w:id="17" w:name="Text1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=SaZ+IZ+PZ+RZ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8" w:name="_Ref422230233"/>
            <w:r>
              <w:rPr>
                <w:b/>
                <w:sz w:val="20"/>
                <w:szCs w:val="20"/>
              </w:rPr>
              <w:t>Finanzierung</w:t>
            </w:r>
            <w:bookmarkEnd w:id="18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648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rStyle w:val="Hyperlink"/>
                  <w:i/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 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werden Teilbeträge von weniger als 10.000,00 € nicht ausg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684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gewiesen wurden oder das Personal eigens für diese Aufgaben eingestellt wurde. In der Abordnung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verfügung oder der Zuweisung der Aufgaben bzw. der Stellenb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schreibung wurden die EU-kofinanzierungsfähigen Projekttätigkeiten detailliert beschrieben. Soweit das kofinanzierte Personal nur anteilig kofinanzierungsfähige Aufgaben ausführt, wurde in der Abordnung, der Zuweisung bzw. dem Vertrag der Anteil der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zeitstelle bzw. die Stundenzahl festgelegt. Die Abordnung, Aufgabenzuweisung bzw. der entsprechende Arbeitsvertrag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ständig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Einhaltung der Nebenbestimmungen  </w:t>
            </w:r>
          </w:p>
        </w:tc>
      </w:tr>
      <w:tr>
        <w:trPr>
          <w:trHeight w:val="57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4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_Ref422230233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110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54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Sofern die Originalbelege nicht in Papierform aufbewahrt werden, bestätige/n ich/wir, dass bei Speicherung der Originalbelege auf allgemein anerkannte Datenträger das DV-gestützte Buchführungssystem den nationalen Rechtsvorschriften entspricht. 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EFRE-NBest-P wurden beachtet.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Ich/Wir bestätige/n, dass </w:t>
            </w:r>
            <w:r>
              <w:t>die Tätigkeiten der Einrichtung nach wirtschaftlichen und nichtwir</w:t>
            </w:r>
            <w:r>
              <w:t>t</w:t>
            </w:r>
            <w:r>
              <w:t>schaftlichen Aktivitäten im Sinne des EU-Beihilferechts (vgl. Abschnitt 2 des Unionsrahmens für staatliche Beihilfen zur Förderung von Forschung, Entwicklung und Innovation - 2014/C 198/01) – getrennt werden. Die Zuwendung aus EFRE-Mitteln wurde dem nichtwirtschaftl</w:t>
            </w:r>
            <w:r>
              <w:t>i</w:t>
            </w:r>
            <w:r>
              <w:t>chen Bereich zugeordnet.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24" w:name="_Ref410212919"/>
            <w:r>
              <w:rPr>
                <w:rStyle w:val="Funotenzeichen"/>
                <w:szCs w:val="20"/>
              </w:rPr>
              <w:footnoteReference w:id="1"/>
            </w:r>
            <w:bookmarkEnd w:id="24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Sachbericht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bookmarkStart w:id="25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5_MWK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NlM8+7ISVPUbH2M4qr8wUyI/3AU=" w:salt="0N6NfdyPuC3ka9IF49LRTQ=="/>
  <w:defaultTabStop w:val="708"/>
  <w:autoHyphenation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MLRID-124-526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TaxCatchAll xmlns="e3f349d8-a175-4457-a533-fa425fa8e606">
      <Value>108</Value>
      <Value>53</Value>
    </TaxCatchAll>
    <_dlc_DocIdUrl xmlns="e3f349d8-a175-4457-a533-fa425fa8e606">
      <Url>http://spdienste.bitbw.bwl.de/LGL/EFRE/EFRE-Formulare/_layouts/DocIdRedir.aspx?ID=MLRID-124-526</Url>
      <Description>MLRID-124-526</Description>
    </_dlc_DocIdUrl>
    <Gültig_x0020_bis xmlns="f1c26fa5-31a9-441b-b268-98b37c9ff6bb" xsi:nil="true"/>
    <Gültig_x0020_ab xmlns="f1c26fa5-31a9-441b-b268-98b37c9ff6bb">2018-09-19T22:00:00+00:00</Gültig_x0020_ab>
    <Online_x0020_ab xmlns="e44d7062-4e03-46c0-90ec-d0965be01d41" xsi:nil="true"/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13</Foerdertatbestand>
    <Inhalt_x0020_des_x0020_Dokuments xmlns="e44d7062-4e03-46c0-90ec-d0965be01d41">30</Inhalt_x0020_des_x0020_Dokuments>
    <VwV xmlns="e44d7062-4e03-46c0-90ec-d0965be01d41">4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1F9A2-0F72-41E0-9906-C0085C4121AB}"/>
</file>

<file path=customXml/itemProps2.xml><?xml version="1.0" encoding="utf-8"?>
<ds:datastoreItem xmlns:ds="http://schemas.openxmlformats.org/officeDocument/2006/customXml" ds:itemID="{C6520895-B073-45AE-9FF4-E77535815C9C}"/>
</file>

<file path=customXml/itemProps3.xml><?xml version="1.0" encoding="utf-8"?>
<ds:datastoreItem xmlns:ds="http://schemas.openxmlformats.org/officeDocument/2006/customXml" ds:itemID="{E74836EE-A162-47A8-943F-62F382B2A7FB}"/>
</file>

<file path=customXml/itemProps4.xml><?xml version="1.0" encoding="utf-8"?>
<ds:datastoreItem xmlns:ds="http://schemas.openxmlformats.org/officeDocument/2006/customXml" ds:itemID="{40F75B83-C2DF-4816-A263-809336099903}"/>
</file>

<file path=customXml/itemProps5.xml><?xml version="1.0" encoding="utf-8"?>
<ds:datastoreItem xmlns:ds="http://schemas.openxmlformats.org/officeDocument/2006/customXml" ds:itemID="{D1C855CE-3DDC-4D71-AE17-7C61F10492D5}"/>
</file>

<file path=customXml/itemProps6.xml><?xml version="1.0" encoding="utf-8"?>
<ds:datastoreItem xmlns:ds="http://schemas.openxmlformats.org/officeDocument/2006/customXml" ds:itemID="{51A1AB96-6F7B-4E5F-A982-ACCD536E0084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1401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10210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3</cp:revision>
  <cp:lastPrinted>2015-01-29T14:02:00Z</cp:lastPrinted>
  <dcterms:created xsi:type="dcterms:W3CDTF">2018-09-21T09:17:00Z</dcterms:created>
  <dcterms:modified xsi:type="dcterms:W3CDTF">2018-09-21T09:17:00Z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afd95b55-5f12-44bd-a145-9c72ad322069,5;afd95b55-5f12-44bd-a145-9c72ad322069,13;641111c6-7eca-48cd-a318-1b327714b43d,15;641111c6-7eca-48cd-a318-1b327714b43d,17;</vt:lpwstr>
  </property>
  <property fmtid="{D5CDD505-2E9C-101B-9397-08002B2CF9AE}" pid="3" name="ContentTypeId">
    <vt:lpwstr>0x010100AF00828187DBBD4AAAD8FA5A456F6799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_dlc_DocIdItemGuid">
    <vt:lpwstr>b5014a69-4508-4816-bfed-47861156c7ae</vt:lpwstr>
  </property>
</Properties>
</file>