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VwV EFRE Klimaschutz mit System KmS 2014 – 2020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Nicht investive Vorhaben -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Ergebnisse, verbale Darste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Laut Zuwendungsbescheid ist der L-Bank jeweils zum 31.03. und zum 30.09. ein Zw</w:t>
            </w:r>
            <w:r>
              <w:rPr>
                <w:szCs w:val="20"/>
              </w:rPr>
              <w:t>i</w:t>
            </w:r>
            <w:r>
              <w:rPr>
                <w:szCs w:val="20"/>
              </w:rPr>
              <w:t>schenbericht sowie spätestens mit dem Verwendungsnachweis ein Abschlussbericht vorzulegen. Sofern zeitgleich mit dem Zwischen-/Verwendungsnachweis ein Zwischenbericht bzw. Abschlussb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richt eingereicht wird, der die o.g. Punkte beinhaltet, kann an dieser Stelle auf diesen Bericht verwi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sen werden.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tbl>
      <w:tblPr>
        <w:tblW w:w="964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Reiseaufwendungen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R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R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R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Gemeinkostenpauschale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G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G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G+RG+PG+G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=SG+RG+PG+GG+SoG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Z+RZ+PZ+G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=SZ+RZ+PZ+GZ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1" w:name="_Ref452632559"/>
            <w:r>
              <w:rPr>
                <w:b/>
                <w:sz w:val="20"/>
                <w:szCs w:val="20"/>
              </w:rPr>
              <w:t>Finanzierung</w:t>
            </w:r>
            <w:bookmarkEnd w:id="2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Einnahmen durch das Projekt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E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EN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EN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=EMG+ENG+ÖMG1+ÖMG2+ÖMG3+PMG+EFREG+LandG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EN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=EMZ+ENZ+ÖMZ1+ÖMZ2+ÖMZ3+PMZ+EFREZ+LandZ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852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Für die Gemeinkostenpauschale  ist kein Nachweis zu erbringen. 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8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Zzgl. Gemeinkostenpauschale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G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GK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9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 w:val="0"/>
                  <w:calcOnExit/>
                  <w:textInput>
                    <w:type w:val="calculated"/>
                    <w:default w:val="=ZA+GK"/>
                    <w:format w:val="#.##0,00"/>
                  </w:textInput>
                </w:ffData>
              </w:fldChar>
            </w:r>
            <w:bookmarkStart w:id="40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=ZA+GK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0,00</w:t>
            </w:r>
            <w:r>
              <w:rPr>
                <w:szCs w:val="20"/>
              </w:rPr>
              <w:fldChar w:fldCharType="end"/>
            </w:r>
            <w:bookmarkEnd w:id="40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01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42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824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zugewiesen wu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den oder das Personal eigens für diese Aufgaben eingestellt wurde. In der Abordnungsverf</w:t>
            </w:r>
            <w:r>
              <w:rPr>
                <w:szCs w:val="20"/>
              </w:rPr>
              <w:t>ü</w:t>
            </w:r>
            <w:r>
              <w:rPr>
                <w:szCs w:val="20"/>
              </w:rPr>
              <w:t>gung oder der Zuweisung der Aufgaben bzw. der Stellenbeschreibung wurden die EU-kofinanzierungsfähigen Projekttätigkeiten detailliert beschrieben. Soweit das kofinanzierte Personal nur anteilig kofinanzierungsfähige Aufgaben ausführt, wurde in der A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ordnung, der Zuweisung bzw. dem Vertrag der Anteil der Vollzeitstelle bzw. die Stundenzahl festgelegt. Die Abordnung, Aufgabenzuweisung bzw. der entsprechende Arbeit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vollstä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75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9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_Ref452632559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son des öffentlichen Rechts beantragt wurden, werden oder bewilligt sind.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Strafba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99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führungssystem den nationalen Rechtsvorschriften entspricht. Eine entsprechende Zertifizi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rung über die Zuverlässigkeit des Systems liegt dem Zwischen-/Verwendungsnachweis bei (Art. 140 (6) VO 1303/2013).</w:t>
            </w:r>
          </w:p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ben in Ziffer 6 der Nebenbestimmungen nach Nr. IV.1 des Zuwendungsbescheids (EFRE NBest-P/-K)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EFRE-NBest-P/-K wurden beachtet.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113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Vorh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ben gehören, bei dem infolge einer Produktionsverlagerung außerhalb des Programmgebiets ein Wiedereinziehungsverfahren gemäß Artikel 71 der VO (EU) 1303/2013 eingeleitet wurde oder werden soll.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53"/>
        </w:trPr>
        <w:tc>
          <w:tcPr>
            <w:tcW w:w="567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41" w:name="_Ref410212919"/>
            <w:r>
              <w:rPr>
                <w:rStyle w:val="Funotenzeichen"/>
                <w:szCs w:val="20"/>
              </w:rPr>
              <w:footnoteReference w:id="3"/>
            </w:r>
            <w:bookmarkEnd w:id="41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 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bookmarkStart w:id="42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2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3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Die Gemeinkostenpauschale beträgt 15% der Personalaufwendungen, sie umfasst</w:t>
      </w:r>
      <w:r>
        <w:rPr>
          <w:rFonts w:cs="Arial"/>
          <w:color w:val="000000"/>
          <w:sz w:val="16"/>
          <w:szCs w:val="16"/>
        </w:rPr>
        <w:t xml:space="preserve"> indirekte Aufwendungen, die im direkten Zusammenhang mit dem im Projekt beschäftigten Personal</w:t>
      </w:r>
      <w:r>
        <w:rPr>
          <w:sz w:val="16"/>
          <w:szCs w:val="16"/>
        </w:rPr>
        <w:t xml:space="preserve"> stehen insbesondere Büromiete, Strom, Wasser, Reinigung, IT-Wartung, Telefon / Internet (laufende Kosten), Büroverbrauchsmaterial, Steuerbüro- / Lohnabrechnungskosten, Arbeitskle</w:t>
      </w:r>
      <w:r>
        <w:rPr>
          <w:sz w:val="16"/>
          <w:szCs w:val="16"/>
        </w:rPr>
        <w:t>i</w:t>
      </w:r>
      <w:r>
        <w:rPr>
          <w:sz w:val="16"/>
          <w:szCs w:val="16"/>
        </w:rPr>
        <w:t>dung. Eine Einzelabrechnung dieser Aufwendungen als Sachaufwendungen ist nicht möglich.</w:t>
      </w:r>
    </w:p>
  </w:footnote>
  <w:footnote w:id="2">
    <w:p>
      <w:pPr>
        <w:pStyle w:val="Funotentext"/>
        <w:ind w:left="142" w:hanging="142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Einnahmen sind Zuflüsse von Geldbeträgen, die unmittelbar für die im Rahmen des Vorhabens bereitgestellten Dienstleistu</w:t>
      </w:r>
      <w:r>
        <w:rPr>
          <w:color w:val="000000"/>
          <w:sz w:val="16"/>
          <w:szCs w:val="16"/>
        </w:rPr>
        <w:t>n</w:t>
      </w:r>
      <w:r>
        <w:rPr>
          <w:color w:val="000000"/>
          <w:sz w:val="16"/>
          <w:szCs w:val="16"/>
        </w:rPr>
        <w:t>gen gezahlt werden, wie z.B. Einnahmen aus Teilnehmergebühren bei Veranstaltungen.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4_ UM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SzJAISwGiHCpMMXl5ymcTuKhEpo=" w:salt="PLSQe670Kx2L04yrS3b4+Q=="/>
  <w:defaultTabStop w:val="708"/>
  <w:autoHyphenation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MLRID-124-419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TaxCatchAll xmlns="e3f349d8-a175-4457-a533-fa425fa8e606">
      <Value>108</Value>
      <Value>53</Value>
    </TaxCatchAll>
    <_dlc_DocIdUrl xmlns="e3f349d8-a175-4457-a533-fa425fa8e606">
      <Url>http://spdienste.bitbw.bwl.de/LGL/EFRE/EFRE-Formulare/_layouts/DocIdRedir.aspx?ID=MLRID-124-419</Url>
      <Description>MLRID-124-419</Description>
    </_dlc_DocIdUrl>
    <Gültig_x0020_bis xmlns="f1c26fa5-31a9-441b-b268-98b37c9ff6bb" xsi:nil="true"/>
    <Gültig_x0020_ab xmlns="f1c26fa5-31a9-441b-b268-98b37c9ff6bb">2018-09-19T22:00:00+00:00</Gültig_x0020_ab>
    <Online_x0020_ab xmlns="e44d7062-4e03-46c0-90ec-d0965be01d41" xsi:nil="true"/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20</Foerdertatbestand>
    <Inhalt_x0020_des_x0020_Dokuments xmlns="e44d7062-4e03-46c0-90ec-d0965be01d41">30</Inhalt_x0020_des_x0020_Dokuments>
    <VwV xmlns="e44d7062-4e03-46c0-90ec-d0965be01d41">9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5B630-9396-4CBC-9E57-6006B0548711}"/>
</file>

<file path=customXml/itemProps2.xml><?xml version="1.0" encoding="utf-8"?>
<ds:datastoreItem xmlns:ds="http://schemas.openxmlformats.org/officeDocument/2006/customXml" ds:itemID="{3776B40C-2CEC-4326-A7F6-97D7F8F5A440}"/>
</file>

<file path=customXml/itemProps3.xml><?xml version="1.0" encoding="utf-8"?>
<ds:datastoreItem xmlns:ds="http://schemas.openxmlformats.org/officeDocument/2006/customXml" ds:itemID="{D16D1C99-E0FC-41BA-BAAD-6B9BFF415414}"/>
</file>

<file path=customXml/itemProps4.xml><?xml version="1.0" encoding="utf-8"?>
<ds:datastoreItem xmlns:ds="http://schemas.openxmlformats.org/officeDocument/2006/customXml" ds:itemID="{8C9FD6A6-76FF-403E-859D-7FE4FF253F57}"/>
</file>

<file path=customXml/itemProps5.xml><?xml version="1.0" encoding="utf-8"?>
<ds:datastoreItem xmlns:ds="http://schemas.openxmlformats.org/officeDocument/2006/customXml" ds:itemID="{143F9145-BEDA-4918-8B88-C3616D369996}"/>
</file>

<file path=customXml/itemProps6.xml><?xml version="1.0" encoding="utf-8"?>
<ds:datastoreItem xmlns:ds="http://schemas.openxmlformats.org/officeDocument/2006/customXml" ds:itemID="{D6DDEE6B-3365-4BD8-BCB6-A87F002CD431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1505</Words>
  <Characters>9487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10971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2018-09-21T09:42:00Z</dcterms:created>
  <dcterms:modified xsi:type="dcterms:W3CDTF">2018-09-21T09:42:00Z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41900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322069,13;afd95b55-5f12-44bd-a145-9c72ad322069,20;afd95b55-5f12-44bd-a145-9c72ad322069,22;afd95b55-5f12-44bd-a145-9c72ad322069,27;afd95b55-5f12-44bd-a145-9c72ad322069,29;afd95b55-5f12-44bd-a145-9c72ad322069,36;afd95b55-5f12-44bd-a145-9c72ad322069,41;641111c6-7eca-48cd-a318-1b327714b43d,43;641111c6-7eca-48cd-a318-1b327714b43d,45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67517f86-5ba2-4807-b601-1c9708eb5370</vt:lpwstr>
  </property>
</Properties>
</file>